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3748B" w14:textId="1F3CCE54" w:rsidR="00A23599" w:rsidRDefault="00676DED" w:rsidP="00A23599">
      <w:pPr>
        <w:pStyle w:val="a5"/>
        <w:tabs>
          <w:tab w:val="right" w:pos="9639"/>
        </w:tabs>
        <w:rPr>
          <w:rFonts w:cs="Arial"/>
          <w:bCs/>
          <w:noProof w:val="0"/>
          <w:color w:val="000000" w:themeColor="text1"/>
          <w:sz w:val="24"/>
          <w:lang w:val="en-GB"/>
        </w:rPr>
      </w:pPr>
      <w:bookmarkStart w:id="0" w:name="OLE_LINK103"/>
      <w:bookmarkStart w:id="1" w:name="OLE_LINK104"/>
      <w:r w:rsidRPr="00676DED">
        <w:rPr>
          <w:rFonts w:eastAsia="新細明體" w:cs="Arial"/>
          <w:noProof w:val="0"/>
          <w:sz w:val="24"/>
          <w:szCs w:val="24"/>
          <w:lang w:eastAsia="ja-JP"/>
        </w:rPr>
        <w:t>3GPPRAN</w:t>
      </w:r>
      <w:r w:rsidR="00411890">
        <w:rPr>
          <w:rFonts w:eastAsia="新細明體" w:cs="Arial"/>
          <w:noProof w:val="0"/>
          <w:sz w:val="24"/>
          <w:szCs w:val="24"/>
          <w:lang w:eastAsia="ja-JP"/>
        </w:rPr>
        <w:t>1</w:t>
      </w:r>
      <w:r w:rsidRPr="00676DED">
        <w:rPr>
          <w:rFonts w:eastAsia="新細明體" w:cs="Arial"/>
          <w:noProof w:val="0"/>
          <w:sz w:val="24"/>
          <w:szCs w:val="24"/>
          <w:lang w:eastAsia="ja-JP"/>
        </w:rPr>
        <w:t>#1</w:t>
      </w:r>
      <w:r w:rsidR="008A1C19">
        <w:rPr>
          <w:rFonts w:eastAsia="新細明體" w:cs="Arial"/>
          <w:noProof w:val="0"/>
          <w:sz w:val="24"/>
          <w:szCs w:val="24"/>
          <w:lang w:eastAsia="ja-JP"/>
        </w:rPr>
        <w:t>1</w:t>
      </w:r>
      <w:r w:rsidR="00C7249E">
        <w:rPr>
          <w:rFonts w:eastAsia="新細明體" w:cs="Arial"/>
          <w:noProof w:val="0"/>
          <w:sz w:val="24"/>
          <w:szCs w:val="24"/>
          <w:lang w:eastAsia="ja-JP"/>
        </w:rPr>
        <w:t>1</w:t>
      </w:r>
      <w:r w:rsidR="00161E86" w:rsidRPr="00161E86">
        <w:rPr>
          <w:rFonts w:eastAsia="新細明體" w:cs="Arial"/>
          <w:noProof w:val="0"/>
          <w:sz w:val="24"/>
          <w:szCs w:val="24"/>
          <w:lang w:eastAsia="ja-JP"/>
        </w:rPr>
        <w:t xml:space="preserve">                </w:t>
      </w:r>
      <w:r w:rsidR="00B0627C" w:rsidRPr="00161E86">
        <w:rPr>
          <w:rFonts w:cs="Arial"/>
          <w:bCs/>
          <w:noProof w:val="0"/>
          <w:color w:val="000000" w:themeColor="text1"/>
          <w:sz w:val="24"/>
          <w:lang w:val="en-GB"/>
        </w:rPr>
        <w:tab/>
      </w:r>
      <w:r w:rsidR="00B54F2E" w:rsidRPr="00B54F2E">
        <w:rPr>
          <w:rFonts w:cs="Arial"/>
          <w:bCs/>
          <w:noProof w:val="0"/>
          <w:color w:val="000000" w:themeColor="text1"/>
          <w:sz w:val="24"/>
          <w:lang w:val="en-GB"/>
        </w:rPr>
        <w:t>R1-2212239</w:t>
      </w:r>
    </w:p>
    <w:p w14:paraId="779AD8A0" w14:textId="1E42C50D" w:rsidR="002D4DA1" w:rsidRPr="00303EDF" w:rsidRDefault="00303EDF" w:rsidP="00303EDF">
      <w:pPr>
        <w:pStyle w:val="a5"/>
        <w:tabs>
          <w:tab w:val="right" w:pos="9781"/>
          <w:tab w:val="right" w:pos="13323"/>
        </w:tabs>
        <w:outlineLvl w:val="0"/>
        <w:rPr>
          <w:b w:val="0"/>
          <w:sz w:val="24"/>
          <w:szCs w:val="24"/>
          <w:lang w:eastAsia="zh-CN"/>
        </w:rPr>
      </w:pPr>
      <w:r w:rsidRPr="004437EC">
        <w:rPr>
          <w:rFonts w:cs="Arial"/>
          <w:sz w:val="24"/>
          <w:szCs w:val="24"/>
        </w:rPr>
        <w:t xml:space="preserve">Electronic Meeting, </w:t>
      </w:r>
      <w:r w:rsidR="00C7249E">
        <w:rPr>
          <w:rFonts w:cs="Arial"/>
          <w:sz w:val="24"/>
          <w:szCs w:val="24"/>
        </w:rPr>
        <w:t>14</w:t>
      </w:r>
      <w:r w:rsidR="00C7249E">
        <w:rPr>
          <w:rFonts w:cs="Arial"/>
          <w:sz w:val="24"/>
          <w:szCs w:val="24"/>
          <w:vertAlign w:val="superscript"/>
        </w:rPr>
        <w:t xml:space="preserve">th </w:t>
      </w:r>
      <w:r w:rsidRPr="000A5A13">
        <w:rPr>
          <w:rFonts w:cs="Arial"/>
          <w:sz w:val="24"/>
          <w:szCs w:val="24"/>
        </w:rPr>
        <w:t>–</w:t>
      </w:r>
      <w:r>
        <w:rPr>
          <w:rFonts w:cs="Arial"/>
          <w:sz w:val="24"/>
          <w:szCs w:val="24"/>
        </w:rPr>
        <w:t xml:space="preserve"> </w:t>
      </w:r>
      <w:r w:rsidR="00C7249E">
        <w:rPr>
          <w:rFonts w:cs="Arial"/>
          <w:sz w:val="24"/>
          <w:szCs w:val="24"/>
        </w:rPr>
        <w:t>18</w:t>
      </w:r>
      <w:r w:rsidR="00C7249E" w:rsidRPr="000A5A13">
        <w:rPr>
          <w:rFonts w:cs="Arial"/>
          <w:sz w:val="24"/>
          <w:szCs w:val="24"/>
          <w:vertAlign w:val="superscript"/>
        </w:rPr>
        <w:t>th</w:t>
      </w:r>
      <w:r w:rsidR="00C7249E" w:rsidRPr="000A5A13">
        <w:rPr>
          <w:rFonts w:cs="Arial"/>
          <w:sz w:val="24"/>
          <w:szCs w:val="24"/>
        </w:rPr>
        <w:t xml:space="preserve"> </w:t>
      </w:r>
      <w:r w:rsidR="00C7249E">
        <w:rPr>
          <w:rFonts w:cs="Arial"/>
          <w:sz w:val="24"/>
          <w:szCs w:val="24"/>
        </w:rPr>
        <w:t>Nov</w:t>
      </w:r>
      <w:r w:rsidR="008A1C19">
        <w:rPr>
          <w:rFonts w:cs="Arial"/>
          <w:sz w:val="24"/>
          <w:szCs w:val="24"/>
        </w:rPr>
        <w:t>.</w:t>
      </w:r>
      <w:r w:rsidRPr="000A5A13">
        <w:rPr>
          <w:rFonts w:cs="Arial"/>
          <w:sz w:val="24"/>
          <w:szCs w:val="24"/>
        </w:rPr>
        <w:t>, 2022</w:t>
      </w:r>
      <w:r w:rsidR="002D4DA1" w:rsidRPr="0091645B">
        <w:t xml:space="preserve">      </w:t>
      </w:r>
    </w:p>
    <w:p w14:paraId="0A75740E" w14:textId="60FEF29C"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8A1C19" w:rsidRPr="008A1C19">
        <w:rPr>
          <w:rFonts w:eastAsiaTheme="minorEastAsia" w:cs="Arial"/>
          <w:b/>
          <w:bCs/>
          <w:color w:val="000000" w:themeColor="text1"/>
          <w:kern w:val="2"/>
          <w:sz w:val="24"/>
          <w:szCs w:val="22"/>
          <w:lang w:val="en-US" w:eastAsia="zh-TW"/>
        </w:rPr>
        <w:t>9.12.2</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355E63AC"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8A1C19" w:rsidRPr="008A1C19">
        <w:rPr>
          <w:rFonts w:ascii="Arial" w:hAnsi="Arial" w:cs="Arial"/>
          <w:b/>
          <w:bCs/>
          <w:color w:val="000000" w:themeColor="text1"/>
        </w:rPr>
        <w:t xml:space="preserve">UL </w:t>
      </w:r>
      <w:r w:rsidR="00127252">
        <w:rPr>
          <w:rFonts w:ascii="Arial" w:hAnsi="Arial" w:cs="Arial" w:hint="eastAsia"/>
          <w:b/>
          <w:bCs/>
          <w:color w:val="000000" w:themeColor="text1"/>
        </w:rPr>
        <w:t>t</w:t>
      </w:r>
      <w:r w:rsidR="008A1C19" w:rsidRPr="008A1C19">
        <w:rPr>
          <w:rFonts w:ascii="Arial" w:hAnsi="Arial" w:cs="Arial"/>
          <w:b/>
          <w:bCs/>
          <w:color w:val="000000" w:themeColor="text1"/>
        </w:rPr>
        <w:t>iming management to reduce handover latency</w:t>
      </w:r>
    </w:p>
    <w:p w14:paraId="1F6E1FB0" w14:textId="510724C2"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21E50FF3" w14:textId="2B099689" w:rsidR="006D10FD" w:rsidRPr="006D10FD" w:rsidRDefault="00C7249E" w:rsidP="006D10FD">
      <w:pPr>
        <w:tabs>
          <w:tab w:val="num" w:pos="1800"/>
        </w:tabs>
        <w:jc w:val="both"/>
        <w:rPr>
          <w:rFonts w:ascii="Arial" w:hAnsi="Arial" w:cs="Arial"/>
          <w:sz w:val="20"/>
          <w:szCs w:val="20"/>
          <w:lang w:val="en-GB"/>
        </w:rPr>
      </w:pPr>
      <w:bookmarkStart w:id="3" w:name="_Ref32352040"/>
      <w:bookmarkStart w:id="4" w:name="OLE_LINK1"/>
      <w:bookmarkStart w:id="5" w:name="OLE_LINK2"/>
      <w:bookmarkStart w:id="6" w:name="OLE_LINK132"/>
      <w:bookmarkStart w:id="7" w:name="OLE_LINK133"/>
      <w:r>
        <w:rPr>
          <w:rFonts w:ascii="Arial" w:hAnsi="Arial" w:cs="Arial"/>
          <w:sz w:val="20"/>
          <w:szCs w:val="20"/>
          <w:lang w:val="en-GB"/>
        </w:rPr>
        <w:t>In RAN1</w:t>
      </w:r>
      <w:r>
        <w:rPr>
          <w:rFonts w:ascii="Arial" w:hAnsi="Arial" w:cs="Arial" w:hint="eastAsia"/>
          <w:sz w:val="20"/>
          <w:szCs w:val="20"/>
          <w:lang w:val="en-GB"/>
        </w:rPr>
        <w:t xml:space="preserve"> #</w:t>
      </w:r>
      <w:r>
        <w:rPr>
          <w:rFonts w:ascii="Arial" w:hAnsi="Arial" w:cs="Arial"/>
          <w:sz w:val="20"/>
          <w:szCs w:val="20"/>
          <w:lang w:val="en-GB"/>
        </w:rPr>
        <w:t>110-Bis meeting, following agreements regarding Rle-18 mobility enhancement</w:t>
      </w:r>
      <w:r w:rsidR="00F90550">
        <w:rPr>
          <w:rFonts w:ascii="Arial" w:hAnsi="Arial" w:cs="Arial"/>
          <w:sz w:val="20"/>
          <w:szCs w:val="20"/>
          <w:lang w:val="en-GB"/>
        </w:rPr>
        <w:t xml:space="preserve"> TA management</w:t>
      </w:r>
      <w:r>
        <w:rPr>
          <w:rFonts w:ascii="Arial" w:hAnsi="Arial" w:cs="Arial"/>
          <w:sz w:val="20"/>
          <w:szCs w:val="20"/>
          <w:lang w:val="en-GB"/>
        </w:rPr>
        <w:t xml:space="preserve"> had been achieved:</w:t>
      </w:r>
      <w:r w:rsidR="006D10FD" w:rsidRPr="006D10FD">
        <w:rPr>
          <w:rFonts w:ascii="Arial" w:hAnsi="Arial" w:cs="Arial"/>
          <w:sz w:val="20"/>
          <w:szCs w:val="20"/>
          <w:lang w:val="en-GB"/>
        </w:rPr>
        <w:t>[1]:</w:t>
      </w:r>
    </w:p>
    <w:p w14:paraId="6BA18EA7" w14:textId="62DB2EB4" w:rsidR="006D10FD" w:rsidRPr="00EF6679" w:rsidRDefault="006D10FD" w:rsidP="006D10FD">
      <w:pPr>
        <w:ind w:left="1440"/>
        <w:jc w:val="both"/>
        <w:rPr>
          <w:rFonts w:eastAsia="Malgun Gothic"/>
          <w:sz w:val="22"/>
          <w:lang w:val="en-GB"/>
        </w:rPr>
      </w:pPr>
      <w:r>
        <w:rPr>
          <w:noProof/>
        </w:rPr>
        <mc:AlternateContent>
          <mc:Choice Requires="wps">
            <w:drawing>
              <wp:anchor distT="0" distB="0" distL="114300" distR="114300" simplePos="0" relativeHeight="251659264" behindDoc="0" locked="0" layoutInCell="1" allowOverlap="1" wp14:anchorId="2FEA9168" wp14:editId="4CAA85DD">
                <wp:simplePos x="0" y="0"/>
                <wp:positionH relativeFrom="column">
                  <wp:posOffset>0</wp:posOffset>
                </wp:positionH>
                <wp:positionV relativeFrom="paragraph">
                  <wp:posOffset>0</wp:posOffset>
                </wp:positionV>
                <wp:extent cx="1828800" cy="1828800"/>
                <wp:effectExtent l="0" t="0" r="0" b="0"/>
                <wp:wrapSquare wrapText="bothSides"/>
                <wp:docPr id="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9F7E92" w14:textId="77777777" w:rsidR="00F711BF" w:rsidRPr="00156CB0" w:rsidRDefault="00F711BF" w:rsidP="009D0E51">
                            <w:pPr>
                              <w:rPr>
                                <w:sz w:val="20"/>
                                <w:szCs w:val="20"/>
                                <w:lang w:eastAsia="x-none"/>
                              </w:rPr>
                            </w:pPr>
                            <w:r w:rsidRPr="00156CB0">
                              <w:rPr>
                                <w:sz w:val="20"/>
                                <w:szCs w:val="20"/>
                                <w:highlight w:val="green"/>
                                <w:lang w:eastAsia="x-none"/>
                              </w:rPr>
                              <w:t>Agreement</w:t>
                            </w:r>
                            <w:r w:rsidRPr="00156CB0">
                              <w:rPr>
                                <w:sz w:val="20"/>
                                <w:szCs w:val="20"/>
                                <w:lang w:eastAsia="x-none"/>
                              </w:rPr>
                              <w:t xml:space="preserve"> </w:t>
                            </w:r>
                          </w:p>
                          <w:p w14:paraId="13C77C4F" w14:textId="77777777" w:rsidR="00F711BF" w:rsidRPr="00156CB0" w:rsidRDefault="00F711BF" w:rsidP="009D0E51">
                            <w:pPr>
                              <w:rPr>
                                <w:sz w:val="20"/>
                                <w:szCs w:val="20"/>
                                <w:lang w:eastAsia="x-none"/>
                              </w:rPr>
                            </w:pPr>
                            <w:r w:rsidRPr="00156CB0">
                              <w:rPr>
                                <w:sz w:val="20"/>
                                <w:szCs w:val="20"/>
                                <w:lang w:eastAsia="x-none"/>
                              </w:rPr>
                              <w:t>Support TA acquisition of candidate cell(s) before cell switch command is received in L1/L2 based mobility.</w:t>
                            </w:r>
                          </w:p>
                          <w:p w14:paraId="66F8B14C" w14:textId="77777777" w:rsidR="00F711BF" w:rsidRPr="00156CB0" w:rsidRDefault="00F711BF" w:rsidP="009D0E51">
                            <w:pPr>
                              <w:pStyle w:val="af8"/>
                              <w:widowControl/>
                              <w:numPr>
                                <w:ilvl w:val="0"/>
                                <w:numId w:val="28"/>
                              </w:numPr>
                              <w:overflowPunct w:val="0"/>
                              <w:autoSpaceDE w:val="0"/>
                              <w:autoSpaceDN w:val="0"/>
                              <w:adjustRightInd w:val="0"/>
                              <w:spacing w:after="180"/>
                              <w:contextualSpacing/>
                              <w:textAlignment w:val="baseline"/>
                              <w:rPr>
                                <w:sz w:val="20"/>
                                <w:szCs w:val="20"/>
                                <w:lang w:eastAsia="x-none"/>
                              </w:rPr>
                            </w:pPr>
                            <w:r w:rsidRPr="00156CB0">
                              <w:rPr>
                                <w:sz w:val="20"/>
                                <w:szCs w:val="20"/>
                                <w:lang w:eastAsia="x-none"/>
                              </w:rPr>
                              <w:t xml:space="preserve">FFS: whether this can be applied to candidate cell when it is deactivated </w:t>
                            </w:r>
                            <w:proofErr w:type="spellStart"/>
                            <w:r w:rsidRPr="00156CB0">
                              <w:rPr>
                                <w:sz w:val="20"/>
                                <w:szCs w:val="20"/>
                                <w:lang w:eastAsia="x-none"/>
                              </w:rPr>
                              <w:t>SCell</w:t>
                            </w:r>
                            <w:proofErr w:type="spellEnd"/>
                            <w:r w:rsidRPr="00156CB0">
                              <w:rPr>
                                <w:sz w:val="20"/>
                                <w:szCs w:val="20"/>
                                <w:lang w:eastAsia="x-none"/>
                              </w:rPr>
                              <w:t xml:space="preserve"> (if defined in RAN2).</w:t>
                            </w:r>
                          </w:p>
                          <w:p w14:paraId="6DB69F33" w14:textId="77777777" w:rsidR="00F711BF" w:rsidRPr="00156CB0" w:rsidRDefault="00F711BF" w:rsidP="009D0E51">
                            <w:pPr>
                              <w:rPr>
                                <w:sz w:val="20"/>
                                <w:szCs w:val="20"/>
                                <w:lang w:eastAsia="x-none"/>
                              </w:rPr>
                            </w:pPr>
                          </w:p>
                          <w:p w14:paraId="12066BA1" w14:textId="77777777" w:rsidR="00F711BF" w:rsidRPr="00156CB0" w:rsidRDefault="00F711BF" w:rsidP="009D0E51">
                            <w:pPr>
                              <w:rPr>
                                <w:sz w:val="20"/>
                                <w:szCs w:val="20"/>
                                <w:lang w:eastAsia="x-none"/>
                              </w:rPr>
                            </w:pPr>
                            <w:r w:rsidRPr="00156CB0">
                              <w:rPr>
                                <w:sz w:val="20"/>
                                <w:szCs w:val="20"/>
                                <w:lang w:eastAsia="x-none"/>
                              </w:rPr>
                              <w:t>From Oct 19th GTW session</w:t>
                            </w:r>
                          </w:p>
                          <w:p w14:paraId="1B5BBBF5" w14:textId="77777777" w:rsidR="00F711BF" w:rsidRPr="00156CB0" w:rsidRDefault="00F711BF" w:rsidP="009D0E51">
                            <w:pPr>
                              <w:rPr>
                                <w:rFonts w:ascii="Times New Roman" w:hAnsi="Times New Roman"/>
                                <w:sz w:val="20"/>
                                <w:szCs w:val="20"/>
                                <w:lang w:eastAsia="x-none"/>
                              </w:rPr>
                            </w:pPr>
                            <w:r w:rsidRPr="00156CB0">
                              <w:rPr>
                                <w:rFonts w:ascii="Times New Roman" w:hAnsi="Times New Roman"/>
                                <w:sz w:val="20"/>
                                <w:szCs w:val="20"/>
                                <w:highlight w:val="green"/>
                                <w:lang w:eastAsia="x-none"/>
                              </w:rPr>
                              <w:t>Agreement</w:t>
                            </w:r>
                          </w:p>
                          <w:p w14:paraId="29466FE3" w14:textId="77777777" w:rsidR="00F711BF" w:rsidRPr="00156CB0" w:rsidRDefault="00F711BF" w:rsidP="009D0E51">
                            <w:pPr>
                              <w:rPr>
                                <w:rFonts w:ascii="Times New Roman" w:hAnsi="Times New Roman"/>
                                <w:sz w:val="20"/>
                                <w:szCs w:val="20"/>
                                <w:lang w:eastAsia="x-none"/>
                              </w:rPr>
                            </w:pPr>
                            <w:r w:rsidRPr="00156CB0">
                              <w:rPr>
                                <w:rFonts w:ascii="Times New Roman" w:hAnsi="Times New Roman"/>
                                <w:sz w:val="20"/>
                                <w:szCs w:val="20"/>
                                <w:lang w:eastAsia="x-none"/>
                              </w:rPr>
                              <w:t>On mechanism to acquire TA of the candidate cells, the following solutions can be further studied:</w:t>
                            </w:r>
                          </w:p>
                          <w:p w14:paraId="0E3F0EB1" w14:textId="77777777" w:rsidR="00F711BF" w:rsidRPr="00156CB0" w:rsidRDefault="00F711BF" w:rsidP="009D0E51">
                            <w:pPr>
                              <w:pStyle w:val="af8"/>
                              <w:widowControl/>
                              <w:numPr>
                                <w:ilvl w:val="0"/>
                                <w:numId w:val="29"/>
                              </w:numPr>
                              <w:overflowPunct w:val="0"/>
                              <w:autoSpaceDE w:val="0"/>
                              <w:autoSpaceDN w:val="0"/>
                              <w:adjustRightInd w:val="0"/>
                              <w:spacing w:after="180"/>
                              <w:contextualSpacing/>
                              <w:textAlignment w:val="baseline"/>
                              <w:rPr>
                                <w:sz w:val="20"/>
                                <w:szCs w:val="20"/>
                              </w:rPr>
                            </w:pPr>
                            <w:r w:rsidRPr="00156CB0">
                              <w:rPr>
                                <w:sz w:val="20"/>
                                <w:szCs w:val="20"/>
                              </w:rPr>
                              <w:t>RACH-based solutions</w:t>
                            </w:r>
                          </w:p>
                          <w:p w14:paraId="24234AC2" w14:textId="77777777" w:rsidR="00F711BF" w:rsidRPr="00156CB0" w:rsidRDefault="00F711BF" w:rsidP="009D0E51">
                            <w:pPr>
                              <w:pStyle w:val="af8"/>
                              <w:widowControl/>
                              <w:numPr>
                                <w:ilvl w:val="1"/>
                                <w:numId w:val="29"/>
                              </w:numPr>
                              <w:overflowPunct w:val="0"/>
                              <w:autoSpaceDE w:val="0"/>
                              <w:autoSpaceDN w:val="0"/>
                              <w:adjustRightInd w:val="0"/>
                              <w:spacing w:after="180"/>
                              <w:contextualSpacing/>
                              <w:textAlignment w:val="baseline"/>
                              <w:rPr>
                                <w:sz w:val="20"/>
                                <w:szCs w:val="20"/>
                              </w:rPr>
                            </w:pPr>
                            <w:r w:rsidRPr="00156CB0">
                              <w:rPr>
                                <w:sz w:val="20"/>
                                <w:szCs w:val="20"/>
                              </w:rPr>
                              <w:t xml:space="preserve">e.g., PDCCH ordered RACH, UE-triggered RACH, higher layer triggered RACH from NW other than L3 HO </w:t>
                            </w:r>
                            <w:proofErr w:type="spellStart"/>
                            <w:r w:rsidRPr="00156CB0">
                              <w:rPr>
                                <w:sz w:val="20"/>
                                <w:szCs w:val="20"/>
                              </w:rPr>
                              <w:t>cmd</w:t>
                            </w:r>
                            <w:proofErr w:type="spellEnd"/>
                          </w:p>
                          <w:p w14:paraId="78F7BFA0" w14:textId="77777777" w:rsidR="00F711BF" w:rsidRPr="00156CB0" w:rsidRDefault="00F711BF" w:rsidP="009D0E51">
                            <w:pPr>
                              <w:pStyle w:val="af8"/>
                              <w:widowControl/>
                              <w:numPr>
                                <w:ilvl w:val="0"/>
                                <w:numId w:val="29"/>
                              </w:numPr>
                              <w:overflowPunct w:val="0"/>
                              <w:autoSpaceDE w:val="0"/>
                              <w:autoSpaceDN w:val="0"/>
                              <w:adjustRightInd w:val="0"/>
                              <w:spacing w:after="180"/>
                              <w:contextualSpacing/>
                              <w:textAlignment w:val="baseline"/>
                              <w:rPr>
                                <w:sz w:val="20"/>
                                <w:szCs w:val="20"/>
                              </w:rPr>
                            </w:pPr>
                            <w:r w:rsidRPr="00156CB0">
                              <w:rPr>
                                <w:sz w:val="20"/>
                                <w:szCs w:val="20"/>
                              </w:rPr>
                              <w:t>RACH-less solutions</w:t>
                            </w:r>
                          </w:p>
                          <w:p w14:paraId="537F6472" w14:textId="77777777" w:rsidR="00F711BF" w:rsidRPr="00156CB0" w:rsidRDefault="00F711BF" w:rsidP="009D0E51">
                            <w:pPr>
                              <w:pStyle w:val="af8"/>
                              <w:widowControl/>
                              <w:numPr>
                                <w:ilvl w:val="1"/>
                                <w:numId w:val="29"/>
                              </w:numPr>
                              <w:overflowPunct w:val="0"/>
                              <w:autoSpaceDE w:val="0"/>
                              <w:autoSpaceDN w:val="0"/>
                              <w:adjustRightInd w:val="0"/>
                              <w:spacing w:after="180"/>
                              <w:contextualSpacing/>
                              <w:textAlignment w:val="baseline"/>
                              <w:rPr>
                                <w:sz w:val="20"/>
                                <w:szCs w:val="20"/>
                              </w:rPr>
                            </w:pPr>
                            <w:r w:rsidRPr="00156CB0">
                              <w:rPr>
                                <w:sz w:val="20"/>
                                <w:szCs w:val="20"/>
                              </w:rPr>
                              <w:t>e.g., SRS based TA acquisition, Rx timing difference based, RACH-less mechanism as in LTE, UE based TA measurement (including UE based TA measurement with one TAC from serving cell)</w:t>
                            </w:r>
                          </w:p>
                          <w:p w14:paraId="593D450D" w14:textId="77777777" w:rsidR="00F711BF" w:rsidRPr="00156CB0" w:rsidRDefault="00F711BF" w:rsidP="009D0E51">
                            <w:pPr>
                              <w:rPr>
                                <w:rFonts w:ascii="Times New Roman" w:hAnsi="Times New Roman"/>
                                <w:sz w:val="20"/>
                                <w:szCs w:val="20"/>
                                <w:lang w:eastAsia="x-none"/>
                              </w:rPr>
                            </w:pPr>
                            <w:r w:rsidRPr="00156CB0">
                              <w:rPr>
                                <w:rFonts w:ascii="Times New Roman" w:hAnsi="Times New Roman"/>
                                <w:sz w:val="20"/>
                                <w:szCs w:val="20"/>
                                <w:highlight w:val="green"/>
                                <w:lang w:eastAsia="x-none"/>
                              </w:rPr>
                              <w:t>Agreement</w:t>
                            </w:r>
                          </w:p>
                          <w:p w14:paraId="1E8EE32F" w14:textId="77777777" w:rsidR="00F711BF" w:rsidRPr="00156CB0" w:rsidRDefault="00F711BF" w:rsidP="009D0E51">
                            <w:pPr>
                              <w:rPr>
                                <w:rFonts w:ascii="Times New Roman" w:hAnsi="Times New Roman"/>
                                <w:sz w:val="20"/>
                                <w:szCs w:val="20"/>
                                <w:lang w:eastAsia="x-none"/>
                              </w:rPr>
                            </w:pPr>
                            <w:r w:rsidRPr="00156CB0">
                              <w:rPr>
                                <w:rFonts w:ascii="Times New Roman" w:hAnsi="Times New Roman"/>
                                <w:sz w:val="20"/>
                                <w:szCs w:val="20"/>
                                <w:lang w:eastAsia="x-none"/>
                              </w:rPr>
                              <w:t>For TA acquisition of a candidate cell before cell switch command is received, study at least the following alternatives of associating TA/TAG to candidate cell:</w:t>
                            </w:r>
                          </w:p>
                          <w:p w14:paraId="6AAE4548" w14:textId="77777777" w:rsidR="00F711BF" w:rsidRPr="00156CB0" w:rsidRDefault="00F711BF" w:rsidP="009D0E51">
                            <w:pPr>
                              <w:pStyle w:val="af8"/>
                              <w:widowControl/>
                              <w:numPr>
                                <w:ilvl w:val="0"/>
                                <w:numId w:val="30"/>
                              </w:numPr>
                              <w:overflowPunct w:val="0"/>
                              <w:autoSpaceDE w:val="0"/>
                              <w:autoSpaceDN w:val="0"/>
                              <w:adjustRightInd w:val="0"/>
                              <w:spacing w:after="180"/>
                              <w:contextualSpacing/>
                              <w:textAlignment w:val="baseline"/>
                              <w:rPr>
                                <w:sz w:val="20"/>
                                <w:szCs w:val="20"/>
                                <w:lang w:eastAsia="x-none"/>
                              </w:rPr>
                            </w:pPr>
                            <w:r w:rsidRPr="00156CB0">
                              <w:rPr>
                                <w:sz w:val="20"/>
                                <w:szCs w:val="20"/>
                                <w:lang w:eastAsia="x-none"/>
                              </w:rPr>
                              <w:t>Alt1: Associate TA/TAG and candidate cell implicitly, e.g.,</w:t>
                            </w:r>
                          </w:p>
                          <w:p w14:paraId="3AA4D8BD" w14:textId="77777777" w:rsidR="00F711BF" w:rsidRPr="00156CB0" w:rsidRDefault="00F711BF" w:rsidP="009D0E51">
                            <w:pPr>
                              <w:pStyle w:val="af8"/>
                              <w:widowControl/>
                              <w:numPr>
                                <w:ilvl w:val="1"/>
                                <w:numId w:val="30"/>
                              </w:numPr>
                              <w:overflowPunct w:val="0"/>
                              <w:autoSpaceDE w:val="0"/>
                              <w:autoSpaceDN w:val="0"/>
                              <w:adjustRightInd w:val="0"/>
                              <w:spacing w:after="180"/>
                              <w:contextualSpacing/>
                              <w:textAlignment w:val="baseline"/>
                              <w:rPr>
                                <w:sz w:val="20"/>
                                <w:szCs w:val="20"/>
                                <w:lang w:eastAsia="x-none"/>
                              </w:rPr>
                            </w:pPr>
                            <w:r w:rsidRPr="00156CB0">
                              <w:rPr>
                                <w:sz w:val="20"/>
                                <w:szCs w:val="20"/>
                                <w:lang w:eastAsia="x-none"/>
                              </w:rPr>
                              <w:t>the association between TA/TAG and TCI states can be configured</w:t>
                            </w:r>
                          </w:p>
                          <w:p w14:paraId="611B8E9E" w14:textId="77777777" w:rsidR="00F711BF" w:rsidRPr="00156CB0" w:rsidRDefault="00F711BF" w:rsidP="009D0E51">
                            <w:pPr>
                              <w:pStyle w:val="af8"/>
                              <w:widowControl/>
                              <w:numPr>
                                <w:ilvl w:val="0"/>
                                <w:numId w:val="30"/>
                              </w:numPr>
                              <w:overflowPunct w:val="0"/>
                              <w:autoSpaceDE w:val="0"/>
                              <w:autoSpaceDN w:val="0"/>
                              <w:adjustRightInd w:val="0"/>
                              <w:spacing w:after="180"/>
                              <w:contextualSpacing/>
                              <w:textAlignment w:val="baseline"/>
                              <w:rPr>
                                <w:sz w:val="20"/>
                                <w:szCs w:val="20"/>
                                <w:lang w:eastAsia="x-none"/>
                              </w:rPr>
                            </w:pPr>
                            <w:r w:rsidRPr="00156CB0">
                              <w:rPr>
                                <w:sz w:val="20"/>
                                <w:szCs w:val="20"/>
                                <w:lang w:eastAsia="x-none"/>
                              </w:rPr>
                              <w:t>Alt2: Associate TA/TAG and candidate cell explicitly, e.g.,</w:t>
                            </w:r>
                          </w:p>
                          <w:p w14:paraId="793B39EF" w14:textId="77777777" w:rsidR="00F711BF" w:rsidRPr="00156CB0" w:rsidRDefault="00F711BF" w:rsidP="009D0E51">
                            <w:pPr>
                              <w:pStyle w:val="af8"/>
                              <w:widowControl/>
                              <w:numPr>
                                <w:ilvl w:val="1"/>
                                <w:numId w:val="30"/>
                              </w:numPr>
                              <w:overflowPunct w:val="0"/>
                              <w:autoSpaceDE w:val="0"/>
                              <w:autoSpaceDN w:val="0"/>
                              <w:adjustRightInd w:val="0"/>
                              <w:spacing w:after="180"/>
                              <w:contextualSpacing/>
                              <w:textAlignment w:val="baseline"/>
                              <w:rPr>
                                <w:sz w:val="20"/>
                                <w:szCs w:val="20"/>
                                <w:lang w:eastAsia="x-none"/>
                              </w:rPr>
                            </w:pPr>
                            <w:r w:rsidRPr="00156CB0">
                              <w:rPr>
                                <w:sz w:val="20"/>
                                <w:szCs w:val="20"/>
                                <w:lang w:eastAsia="x-none"/>
                              </w:rPr>
                              <w:t>the association is provided as a part of candidate cell(s) configuration</w:t>
                            </w:r>
                          </w:p>
                          <w:p w14:paraId="7B762BB3" w14:textId="0D5C36B7" w:rsidR="00F711BF" w:rsidRPr="00E92969" w:rsidRDefault="00F711BF" w:rsidP="00156CB0">
                            <w:pPr>
                              <w:pStyle w:val="af8"/>
                              <w:widowControl/>
                              <w:numPr>
                                <w:ilvl w:val="1"/>
                                <w:numId w:val="30"/>
                              </w:numPr>
                              <w:overflowPunct w:val="0"/>
                              <w:autoSpaceDE w:val="0"/>
                              <w:autoSpaceDN w:val="0"/>
                              <w:adjustRightInd w:val="0"/>
                              <w:spacing w:after="180"/>
                              <w:contextualSpacing/>
                              <w:textAlignment w:val="baseline"/>
                              <w:rPr>
                                <w:b/>
                              </w:rPr>
                            </w:pPr>
                            <w:r w:rsidRPr="00156CB0">
                              <w:rPr>
                                <w:sz w:val="20"/>
                                <w:szCs w:val="20"/>
                                <w:lang w:eastAsia="x-none"/>
                              </w:rPr>
                              <w:t>the association between TA/TAG and SSB(s)/TRS(s) is provided as a part of candidate cell(s)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2FEA916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YdjOgIAAHg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s84&#10;M6IFRY+qD+wr9Wwau9NZvwBoawELPcxgebR7GGPRfeXa+EU5DH70+fXY25hMxqD5bD7P4ZLwjQry&#10;Z2/h1vnwTVHLolBwB/JST8X+1ocBOkLibYZuGq0TgdqwruAXn8/zFOBJN2V0RlgM2WjH9gIjsNNC&#10;/ozPx7UnKGjawBiLHYqKUuh3PaBR3FH5igY4GgbIW3nTIO+t8OFBOEwMCsMWhHsclSY8hg4SZzW5&#10;X3+zRzyIhJezDhNYcIMV4Ux/NyD4cnp2Fgc2KWfnX2ZQ3Klnd+oxL+2GUN8U22ZlEiM+6FGsHLVP&#10;WJV1vBMuYSRuLngYxU0YtgKrJtV6nUAYUSvCrdlaGVOP3Xzsn4SzB5YCCL6jcVLF4h1ZAzZGert+&#10;CaAsMfnW00PXMd6JlMMqxv051RPq7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ddh2M6AgAAeAQAAA4AAAAAAAAAAAAAAAAA&#10;LgIAAGRycy9lMm9Eb2MueG1sUEsBAi0AFAAGAAgAAAAhALcMAwjXAAAABQEAAA8AAAAAAAAAAAAA&#10;AAAAlAQAAGRycy9kb3ducmV2LnhtbFBLBQYAAAAABAAEAPMAAACYBQAAAAA=&#10;" filled="f" strokeweight=".5pt">
                <v:textbox style="mso-fit-shape-to-text:t">
                  <w:txbxContent>
                    <w:p w14:paraId="3A9F7E92" w14:textId="77777777" w:rsidR="00F711BF" w:rsidRPr="00156CB0" w:rsidRDefault="00F711BF" w:rsidP="009D0E51">
                      <w:pPr>
                        <w:rPr>
                          <w:sz w:val="20"/>
                          <w:szCs w:val="20"/>
                          <w:lang w:eastAsia="x-none"/>
                        </w:rPr>
                      </w:pPr>
                      <w:r w:rsidRPr="00156CB0">
                        <w:rPr>
                          <w:sz w:val="20"/>
                          <w:szCs w:val="20"/>
                          <w:highlight w:val="green"/>
                          <w:lang w:eastAsia="x-none"/>
                        </w:rPr>
                        <w:t>Agreement</w:t>
                      </w:r>
                      <w:r w:rsidRPr="00156CB0">
                        <w:rPr>
                          <w:sz w:val="20"/>
                          <w:szCs w:val="20"/>
                          <w:lang w:eastAsia="x-none"/>
                        </w:rPr>
                        <w:t xml:space="preserve"> </w:t>
                      </w:r>
                    </w:p>
                    <w:p w14:paraId="13C77C4F" w14:textId="77777777" w:rsidR="00F711BF" w:rsidRPr="00156CB0" w:rsidRDefault="00F711BF" w:rsidP="009D0E51">
                      <w:pPr>
                        <w:rPr>
                          <w:sz w:val="20"/>
                          <w:szCs w:val="20"/>
                          <w:lang w:eastAsia="x-none"/>
                        </w:rPr>
                      </w:pPr>
                      <w:r w:rsidRPr="00156CB0">
                        <w:rPr>
                          <w:sz w:val="20"/>
                          <w:szCs w:val="20"/>
                          <w:lang w:eastAsia="x-none"/>
                        </w:rPr>
                        <w:t>Support TA acquisition of candidate cell(s) before cell switch command is received in L1/L2 based mobility.</w:t>
                      </w:r>
                    </w:p>
                    <w:p w14:paraId="66F8B14C" w14:textId="77777777" w:rsidR="00F711BF" w:rsidRPr="00156CB0" w:rsidRDefault="00F711BF" w:rsidP="009D0E51">
                      <w:pPr>
                        <w:pStyle w:val="af8"/>
                        <w:widowControl/>
                        <w:numPr>
                          <w:ilvl w:val="0"/>
                          <w:numId w:val="28"/>
                        </w:numPr>
                        <w:overflowPunct w:val="0"/>
                        <w:autoSpaceDE w:val="0"/>
                        <w:autoSpaceDN w:val="0"/>
                        <w:adjustRightInd w:val="0"/>
                        <w:spacing w:after="180"/>
                        <w:contextualSpacing/>
                        <w:textAlignment w:val="baseline"/>
                        <w:rPr>
                          <w:sz w:val="20"/>
                          <w:szCs w:val="20"/>
                          <w:lang w:eastAsia="x-none"/>
                        </w:rPr>
                      </w:pPr>
                      <w:r w:rsidRPr="00156CB0">
                        <w:rPr>
                          <w:sz w:val="20"/>
                          <w:szCs w:val="20"/>
                          <w:lang w:eastAsia="x-none"/>
                        </w:rPr>
                        <w:t xml:space="preserve">FFS: whether this can be applied to candidate cell when it is deactivated </w:t>
                      </w:r>
                      <w:proofErr w:type="spellStart"/>
                      <w:r w:rsidRPr="00156CB0">
                        <w:rPr>
                          <w:sz w:val="20"/>
                          <w:szCs w:val="20"/>
                          <w:lang w:eastAsia="x-none"/>
                        </w:rPr>
                        <w:t>SCell</w:t>
                      </w:r>
                      <w:proofErr w:type="spellEnd"/>
                      <w:r w:rsidRPr="00156CB0">
                        <w:rPr>
                          <w:sz w:val="20"/>
                          <w:szCs w:val="20"/>
                          <w:lang w:eastAsia="x-none"/>
                        </w:rPr>
                        <w:t xml:space="preserve"> (if defined in RAN2).</w:t>
                      </w:r>
                    </w:p>
                    <w:p w14:paraId="6DB69F33" w14:textId="77777777" w:rsidR="00F711BF" w:rsidRPr="00156CB0" w:rsidRDefault="00F711BF" w:rsidP="009D0E51">
                      <w:pPr>
                        <w:rPr>
                          <w:sz w:val="20"/>
                          <w:szCs w:val="20"/>
                          <w:lang w:eastAsia="x-none"/>
                        </w:rPr>
                      </w:pPr>
                    </w:p>
                    <w:p w14:paraId="12066BA1" w14:textId="77777777" w:rsidR="00F711BF" w:rsidRPr="00156CB0" w:rsidRDefault="00F711BF" w:rsidP="009D0E51">
                      <w:pPr>
                        <w:rPr>
                          <w:sz w:val="20"/>
                          <w:szCs w:val="20"/>
                          <w:lang w:eastAsia="x-none"/>
                        </w:rPr>
                      </w:pPr>
                      <w:r w:rsidRPr="00156CB0">
                        <w:rPr>
                          <w:sz w:val="20"/>
                          <w:szCs w:val="20"/>
                          <w:lang w:eastAsia="x-none"/>
                        </w:rPr>
                        <w:t>From Oct 19th GTW session</w:t>
                      </w:r>
                    </w:p>
                    <w:p w14:paraId="1B5BBBF5" w14:textId="77777777" w:rsidR="00F711BF" w:rsidRPr="00156CB0" w:rsidRDefault="00F711BF" w:rsidP="009D0E51">
                      <w:pPr>
                        <w:rPr>
                          <w:rFonts w:ascii="Times New Roman" w:hAnsi="Times New Roman"/>
                          <w:sz w:val="20"/>
                          <w:szCs w:val="20"/>
                          <w:lang w:eastAsia="x-none"/>
                        </w:rPr>
                      </w:pPr>
                      <w:r w:rsidRPr="00156CB0">
                        <w:rPr>
                          <w:rFonts w:ascii="Times New Roman" w:hAnsi="Times New Roman"/>
                          <w:sz w:val="20"/>
                          <w:szCs w:val="20"/>
                          <w:highlight w:val="green"/>
                          <w:lang w:eastAsia="x-none"/>
                        </w:rPr>
                        <w:t>Agreement</w:t>
                      </w:r>
                    </w:p>
                    <w:p w14:paraId="29466FE3" w14:textId="77777777" w:rsidR="00F711BF" w:rsidRPr="00156CB0" w:rsidRDefault="00F711BF" w:rsidP="009D0E51">
                      <w:pPr>
                        <w:rPr>
                          <w:rFonts w:ascii="Times New Roman" w:hAnsi="Times New Roman"/>
                          <w:sz w:val="20"/>
                          <w:szCs w:val="20"/>
                          <w:lang w:eastAsia="x-none"/>
                        </w:rPr>
                      </w:pPr>
                      <w:r w:rsidRPr="00156CB0">
                        <w:rPr>
                          <w:rFonts w:ascii="Times New Roman" w:hAnsi="Times New Roman"/>
                          <w:sz w:val="20"/>
                          <w:szCs w:val="20"/>
                          <w:lang w:eastAsia="x-none"/>
                        </w:rPr>
                        <w:t>On mechanism to acquire TA of the candidate cells, the following solutions can be further studied:</w:t>
                      </w:r>
                    </w:p>
                    <w:p w14:paraId="0E3F0EB1" w14:textId="77777777" w:rsidR="00F711BF" w:rsidRPr="00156CB0" w:rsidRDefault="00F711BF" w:rsidP="009D0E51">
                      <w:pPr>
                        <w:pStyle w:val="af8"/>
                        <w:widowControl/>
                        <w:numPr>
                          <w:ilvl w:val="0"/>
                          <w:numId w:val="29"/>
                        </w:numPr>
                        <w:overflowPunct w:val="0"/>
                        <w:autoSpaceDE w:val="0"/>
                        <w:autoSpaceDN w:val="0"/>
                        <w:adjustRightInd w:val="0"/>
                        <w:spacing w:after="180"/>
                        <w:contextualSpacing/>
                        <w:textAlignment w:val="baseline"/>
                        <w:rPr>
                          <w:sz w:val="20"/>
                          <w:szCs w:val="20"/>
                        </w:rPr>
                      </w:pPr>
                      <w:r w:rsidRPr="00156CB0">
                        <w:rPr>
                          <w:sz w:val="20"/>
                          <w:szCs w:val="20"/>
                        </w:rPr>
                        <w:t>RACH-based solutions</w:t>
                      </w:r>
                    </w:p>
                    <w:p w14:paraId="24234AC2" w14:textId="77777777" w:rsidR="00F711BF" w:rsidRPr="00156CB0" w:rsidRDefault="00F711BF" w:rsidP="009D0E51">
                      <w:pPr>
                        <w:pStyle w:val="af8"/>
                        <w:widowControl/>
                        <w:numPr>
                          <w:ilvl w:val="1"/>
                          <w:numId w:val="29"/>
                        </w:numPr>
                        <w:overflowPunct w:val="0"/>
                        <w:autoSpaceDE w:val="0"/>
                        <w:autoSpaceDN w:val="0"/>
                        <w:adjustRightInd w:val="0"/>
                        <w:spacing w:after="180"/>
                        <w:contextualSpacing/>
                        <w:textAlignment w:val="baseline"/>
                        <w:rPr>
                          <w:sz w:val="20"/>
                          <w:szCs w:val="20"/>
                        </w:rPr>
                      </w:pPr>
                      <w:r w:rsidRPr="00156CB0">
                        <w:rPr>
                          <w:sz w:val="20"/>
                          <w:szCs w:val="20"/>
                        </w:rPr>
                        <w:t xml:space="preserve">e.g., PDCCH ordered RACH, UE-triggered RACH, higher layer triggered RACH from NW other than L3 HO </w:t>
                      </w:r>
                      <w:proofErr w:type="spellStart"/>
                      <w:r w:rsidRPr="00156CB0">
                        <w:rPr>
                          <w:sz w:val="20"/>
                          <w:szCs w:val="20"/>
                        </w:rPr>
                        <w:t>cmd</w:t>
                      </w:r>
                      <w:proofErr w:type="spellEnd"/>
                    </w:p>
                    <w:p w14:paraId="78F7BFA0" w14:textId="77777777" w:rsidR="00F711BF" w:rsidRPr="00156CB0" w:rsidRDefault="00F711BF" w:rsidP="009D0E51">
                      <w:pPr>
                        <w:pStyle w:val="af8"/>
                        <w:widowControl/>
                        <w:numPr>
                          <w:ilvl w:val="0"/>
                          <w:numId w:val="29"/>
                        </w:numPr>
                        <w:overflowPunct w:val="0"/>
                        <w:autoSpaceDE w:val="0"/>
                        <w:autoSpaceDN w:val="0"/>
                        <w:adjustRightInd w:val="0"/>
                        <w:spacing w:after="180"/>
                        <w:contextualSpacing/>
                        <w:textAlignment w:val="baseline"/>
                        <w:rPr>
                          <w:sz w:val="20"/>
                          <w:szCs w:val="20"/>
                        </w:rPr>
                      </w:pPr>
                      <w:r w:rsidRPr="00156CB0">
                        <w:rPr>
                          <w:sz w:val="20"/>
                          <w:szCs w:val="20"/>
                        </w:rPr>
                        <w:t>RACH-less solutions</w:t>
                      </w:r>
                    </w:p>
                    <w:p w14:paraId="537F6472" w14:textId="77777777" w:rsidR="00F711BF" w:rsidRPr="00156CB0" w:rsidRDefault="00F711BF" w:rsidP="009D0E51">
                      <w:pPr>
                        <w:pStyle w:val="af8"/>
                        <w:widowControl/>
                        <w:numPr>
                          <w:ilvl w:val="1"/>
                          <w:numId w:val="29"/>
                        </w:numPr>
                        <w:overflowPunct w:val="0"/>
                        <w:autoSpaceDE w:val="0"/>
                        <w:autoSpaceDN w:val="0"/>
                        <w:adjustRightInd w:val="0"/>
                        <w:spacing w:after="180"/>
                        <w:contextualSpacing/>
                        <w:textAlignment w:val="baseline"/>
                        <w:rPr>
                          <w:sz w:val="20"/>
                          <w:szCs w:val="20"/>
                        </w:rPr>
                      </w:pPr>
                      <w:r w:rsidRPr="00156CB0">
                        <w:rPr>
                          <w:sz w:val="20"/>
                          <w:szCs w:val="20"/>
                        </w:rPr>
                        <w:t>e.g., SRS based TA acquisition, Rx timing difference based, RACH-less mechanism as in LTE, UE based TA measurement (including UE based TA measurement with one TAC from serving cell)</w:t>
                      </w:r>
                    </w:p>
                    <w:p w14:paraId="593D450D" w14:textId="77777777" w:rsidR="00F711BF" w:rsidRPr="00156CB0" w:rsidRDefault="00F711BF" w:rsidP="009D0E51">
                      <w:pPr>
                        <w:rPr>
                          <w:rFonts w:ascii="Times New Roman" w:hAnsi="Times New Roman"/>
                          <w:sz w:val="20"/>
                          <w:szCs w:val="20"/>
                          <w:lang w:eastAsia="x-none"/>
                        </w:rPr>
                      </w:pPr>
                      <w:r w:rsidRPr="00156CB0">
                        <w:rPr>
                          <w:rFonts w:ascii="Times New Roman" w:hAnsi="Times New Roman"/>
                          <w:sz w:val="20"/>
                          <w:szCs w:val="20"/>
                          <w:highlight w:val="green"/>
                          <w:lang w:eastAsia="x-none"/>
                        </w:rPr>
                        <w:t>Agreement</w:t>
                      </w:r>
                    </w:p>
                    <w:p w14:paraId="1E8EE32F" w14:textId="77777777" w:rsidR="00F711BF" w:rsidRPr="00156CB0" w:rsidRDefault="00F711BF" w:rsidP="009D0E51">
                      <w:pPr>
                        <w:rPr>
                          <w:rFonts w:ascii="Times New Roman" w:hAnsi="Times New Roman"/>
                          <w:sz w:val="20"/>
                          <w:szCs w:val="20"/>
                          <w:lang w:eastAsia="x-none"/>
                        </w:rPr>
                      </w:pPr>
                      <w:r w:rsidRPr="00156CB0">
                        <w:rPr>
                          <w:rFonts w:ascii="Times New Roman" w:hAnsi="Times New Roman"/>
                          <w:sz w:val="20"/>
                          <w:szCs w:val="20"/>
                          <w:lang w:eastAsia="x-none"/>
                        </w:rPr>
                        <w:t>For TA acquisition of a candidate cell before cell switch command is received, study at least the following alternatives of associating TA/TAG to candidate cell:</w:t>
                      </w:r>
                    </w:p>
                    <w:p w14:paraId="6AAE4548" w14:textId="77777777" w:rsidR="00F711BF" w:rsidRPr="00156CB0" w:rsidRDefault="00F711BF" w:rsidP="009D0E51">
                      <w:pPr>
                        <w:pStyle w:val="af8"/>
                        <w:widowControl/>
                        <w:numPr>
                          <w:ilvl w:val="0"/>
                          <w:numId w:val="30"/>
                        </w:numPr>
                        <w:overflowPunct w:val="0"/>
                        <w:autoSpaceDE w:val="0"/>
                        <w:autoSpaceDN w:val="0"/>
                        <w:adjustRightInd w:val="0"/>
                        <w:spacing w:after="180"/>
                        <w:contextualSpacing/>
                        <w:textAlignment w:val="baseline"/>
                        <w:rPr>
                          <w:sz w:val="20"/>
                          <w:szCs w:val="20"/>
                          <w:lang w:eastAsia="x-none"/>
                        </w:rPr>
                      </w:pPr>
                      <w:r w:rsidRPr="00156CB0">
                        <w:rPr>
                          <w:sz w:val="20"/>
                          <w:szCs w:val="20"/>
                          <w:lang w:eastAsia="x-none"/>
                        </w:rPr>
                        <w:t>Alt1: Associate TA/TAG and candidate cell implicitly, e.g.,</w:t>
                      </w:r>
                    </w:p>
                    <w:p w14:paraId="3AA4D8BD" w14:textId="77777777" w:rsidR="00F711BF" w:rsidRPr="00156CB0" w:rsidRDefault="00F711BF" w:rsidP="009D0E51">
                      <w:pPr>
                        <w:pStyle w:val="af8"/>
                        <w:widowControl/>
                        <w:numPr>
                          <w:ilvl w:val="1"/>
                          <w:numId w:val="30"/>
                        </w:numPr>
                        <w:overflowPunct w:val="0"/>
                        <w:autoSpaceDE w:val="0"/>
                        <w:autoSpaceDN w:val="0"/>
                        <w:adjustRightInd w:val="0"/>
                        <w:spacing w:after="180"/>
                        <w:contextualSpacing/>
                        <w:textAlignment w:val="baseline"/>
                        <w:rPr>
                          <w:sz w:val="20"/>
                          <w:szCs w:val="20"/>
                          <w:lang w:eastAsia="x-none"/>
                        </w:rPr>
                      </w:pPr>
                      <w:r w:rsidRPr="00156CB0">
                        <w:rPr>
                          <w:sz w:val="20"/>
                          <w:szCs w:val="20"/>
                          <w:lang w:eastAsia="x-none"/>
                        </w:rPr>
                        <w:t>the association between TA/TAG and TCI states can be configured</w:t>
                      </w:r>
                    </w:p>
                    <w:p w14:paraId="611B8E9E" w14:textId="77777777" w:rsidR="00F711BF" w:rsidRPr="00156CB0" w:rsidRDefault="00F711BF" w:rsidP="009D0E51">
                      <w:pPr>
                        <w:pStyle w:val="af8"/>
                        <w:widowControl/>
                        <w:numPr>
                          <w:ilvl w:val="0"/>
                          <w:numId w:val="30"/>
                        </w:numPr>
                        <w:overflowPunct w:val="0"/>
                        <w:autoSpaceDE w:val="0"/>
                        <w:autoSpaceDN w:val="0"/>
                        <w:adjustRightInd w:val="0"/>
                        <w:spacing w:after="180"/>
                        <w:contextualSpacing/>
                        <w:textAlignment w:val="baseline"/>
                        <w:rPr>
                          <w:sz w:val="20"/>
                          <w:szCs w:val="20"/>
                          <w:lang w:eastAsia="x-none"/>
                        </w:rPr>
                      </w:pPr>
                      <w:r w:rsidRPr="00156CB0">
                        <w:rPr>
                          <w:sz w:val="20"/>
                          <w:szCs w:val="20"/>
                          <w:lang w:eastAsia="x-none"/>
                        </w:rPr>
                        <w:t>Alt2: Associate TA/TAG and candidate cell explicitly, e.g.,</w:t>
                      </w:r>
                    </w:p>
                    <w:p w14:paraId="793B39EF" w14:textId="77777777" w:rsidR="00F711BF" w:rsidRPr="00156CB0" w:rsidRDefault="00F711BF" w:rsidP="009D0E51">
                      <w:pPr>
                        <w:pStyle w:val="af8"/>
                        <w:widowControl/>
                        <w:numPr>
                          <w:ilvl w:val="1"/>
                          <w:numId w:val="30"/>
                        </w:numPr>
                        <w:overflowPunct w:val="0"/>
                        <w:autoSpaceDE w:val="0"/>
                        <w:autoSpaceDN w:val="0"/>
                        <w:adjustRightInd w:val="0"/>
                        <w:spacing w:after="180"/>
                        <w:contextualSpacing/>
                        <w:textAlignment w:val="baseline"/>
                        <w:rPr>
                          <w:sz w:val="20"/>
                          <w:szCs w:val="20"/>
                          <w:lang w:eastAsia="x-none"/>
                        </w:rPr>
                      </w:pPr>
                      <w:r w:rsidRPr="00156CB0">
                        <w:rPr>
                          <w:sz w:val="20"/>
                          <w:szCs w:val="20"/>
                          <w:lang w:eastAsia="x-none"/>
                        </w:rPr>
                        <w:t>the association is provided as a part of candidate cell(s) configuration</w:t>
                      </w:r>
                    </w:p>
                    <w:p w14:paraId="7B762BB3" w14:textId="0D5C36B7" w:rsidR="00F711BF" w:rsidRPr="00E92969" w:rsidRDefault="00F711BF" w:rsidP="00156CB0">
                      <w:pPr>
                        <w:pStyle w:val="af8"/>
                        <w:widowControl/>
                        <w:numPr>
                          <w:ilvl w:val="1"/>
                          <w:numId w:val="30"/>
                        </w:numPr>
                        <w:overflowPunct w:val="0"/>
                        <w:autoSpaceDE w:val="0"/>
                        <w:autoSpaceDN w:val="0"/>
                        <w:adjustRightInd w:val="0"/>
                        <w:spacing w:after="180"/>
                        <w:contextualSpacing/>
                        <w:textAlignment w:val="baseline"/>
                        <w:rPr>
                          <w:b/>
                        </w:rPr>
                      </w:pPr>
                      <w:r w:rsidRPr="00156CB0">
                        <w:rPr>
                          <w:sz w:val="20"/>
                          <w:szCs w:val="20"/>
                          <w:lang w:eastAsia="x-none"/>
                        </w:rPr>
                        <w:t>the association between TA/TAG and SSB(s)/TRS(s) is provided as a part of candidate cell(s) configuration</w:t>
                      </w:r>
                    </w:p>
                  </w:txbxContent>
                </v:textbox>
                <w10:wrap type="square"/>
              </v:shape>
            </w:pict>
          </mc:Fallback>
        </mc:AlternateContent>
      </w:r>
    </w:p>
    <w:p w14:paraId="21153B43" w14:textId="2D4ECF4E" w:rsidR="006D10FD" w:rsidRPr="006D10FD" w:rsidRDefault="006D10FD" w:rsidP="006D10FD">
      <w:pPr>
        <w:tabs>
          <w:tab w:val="num" w:pos="1800"/>
        </w:tabs>
        <w:jc w:val="both"/>
        <w:rPr>
          <w:rFonts w:ascii="Arial" w:hAnsi="Arial" w:cs="Arial"/>
          <w:sz w:val="20"/>
          <w:szCs w:val="20"/>
          <w:lang w:val="en-GB"/>
        </w:rPr>
      </w:pPr>
      <w:r w:rsidRPr="00156CB0">
        <w:rPr>
          <w:rFonts w:ascii="Arial" w:hAnsi="Arial" w:cs="Arial"/>
          <w:sz w:val="20"/>
          <w:szCs w:val="20"/>
          <w:lang w:val="en-GB"/>
        </w:rPr>
        <w:t>In Rel-</w:t>
      </w:r>
      <w:r w:rsidR="00127252" w:rsidRPr="00156CB0">
        <w:rPr>
          <w:rFonts w:ascii="Arial" w:hAnsi="Arial" w:cs="Arial"/>
          <w:sz w:val="20"/>
          <w:szCs w:val="20"/>
          <w:lang w:val="en-GB"/>
        </w:rPr>
        <w:t>15/</w:t>
      </w:r>
      <w:r w:rsidRPr="00156CB0">
        <w:rPr>
          <w:rFonts w:ascii="Arial" w:hAnsi="Arial" w:cs="Arial"/>
          <w:sz w:val="20"/>
          <w:szCs w:val="20"/>
          <w:lang w:val="en-GB"/>
        </w:rPr>
        <w:t>16/17, there can be only one single TA per CC, and it is further assumed at the received signals from different TRPs are withing the CP at the UE side. Such assumption limits the deployment scenario</w:t>
      </w:r>
      <w:r w:rsidR="00127252" w:rsidRPr="00156CB0">
        <w:rPr>
          <w:rFonts w:ascii="Arial" w:hAnsi="Arial" w:cs="Arial"/>
          <w:sz w:val="20"/>
          <w:szCs w:val="20"/>
          <w:lang w:val="en-GB"/>
        </w:rPr>
        <w:t xml:space="preserve"> </w:t>
      </w:r>
      <w:r w:rsidR="00A27A15" w:rsidRPr="00156CB0">
        <w:rPr>
          <w:rFonts w:ascii="Arial" w:hAnsi="Arial" w:cs="Arial"/>
          <w:sz w:val="20"/>
          <w:szCs w:val="20"/>
          <w:lang w:val="en-GB"/>
        </w:rPr>
        <w:t xml:space="preserve">and </w:t>
      </w:r>
      <w:r w:rsidR="00127252" w:rsidRPr="00156CB0">
        <w:rPr>
          <w:rFonts w:ascii="Arial" w:hAnsi="Arial" w:cs="Arial"/>
          <w:sz w:val="20"/>
          <w:szCs w:val="20"/>
          <w:lang w:val="en-GB"/>
        </w:rPr>
        <w:t>hardly support the need for mobility purpose.</w:t>
      </w:r>
      <w:r w:rsidR="00A27A15" w:rsidRPr="00156CB0">
        <w:rPr>
          <w:rFonts w:ascii="Arial" w:hAnsi="Arial" w:cs="Arial"/>
          <w:sz w:val="20"/>
          <w:szCs w:val="20"/>
          <w:lang w:val="en-GB"/>
        </w:rPr>
        <w:t xml:space="preserve"> </w:t>
      </w:r>
      <w:r w:rsidRPr="00156CB0">
        <w:rPr>
          <w:rFonts w:ascii="Arial" w:hAnsi="Arial" w:cs="Arial"/>
          <w:sz w:val="20"/>
          <w:szCs w:val="20"/>
          <w:lang w:val="en-GB"/>
        </w:rPr>
        <w:t xml:space="preserve">In this contribution, we discuss enhancements to </w:t>
      </w:r>
      <w:r w:rsidR="001C58C9">
        <w:rPr>
          <w:rFonts w:ascii="Arial" w:hAnsi="Arial" w:cs="Arial"/>
          <w:sz w:val="20"/>
          <w:szCs w:val="20"/>
          <w:lang w:val="en-GB"/>
        </w:rPr>
        <w:t>s</w:t>
      </w:r>
      <w:r w:rsidR="001C58C9" w:rsidRPr="001C58C9">
        <w:rPr>
          <w:rFonts w:ascii="Arial" w:hAnsi="Arial" w:cs="Arial"/>
          <w:sz w:val="20"/>
          <w:szCs w:val="20"/>
          <w:lang w:val="en-GB"/>
        </w:rPr>
        <w:t xml:space="preserve">upport TA acquisition </w:t>
      </w:r>
      <w:r w:rsidR="001C58C9" w:rsidRPr="001C58C9">
        <w:rPr>
          <w:rFonts w:ascii="Arial" w:hAnsi="Arial" w:cs="Arial"/>
          <w:sz w:val="20"/>
          <w:szCs w:val="20"/>
          <w:lang w:val="en-GB"/>
        </w:rPr>
        <w:lastRenderedPageBreak/>
        <w:t xml:space="preserve">of candidate cell(s) before cell switch command is received in </w:t>
      </w:r>
      <w:r w:rsidR="005C1872" w:rsidRPr="005C1872">
        <w:rPr>
          <w:rFonts w:ascii="Arial" w:hAnsi="Arial" w:cs="Arial"/>
          <w:sz w:val="20"/>
          <w:szCs w:val="20"/>
          <w:lang w:val="en-GB"/>
        </w:rPr>
        <w:t>L1/L2-triggered mobility (LTM)</w:t>
      </w:r>
      <w:r w:rsidR="005C1872">
        <w:rPr>
          <w:rFonts w:ascii="Arial" w:hAnsi="Arial" w:cs="Arial"/>
          <w:sz w:val="20"/>
          <w:szCs w:val="20"/>
          <w:lang w:val="en-GB"/>
        </w:rPr>
        <w:t>.</w:t>
      </w:r>
    </w:p>
    <w:p w14:paraId="57DA66AA" w14:textId="681ECF07" w:rsidR="0040469B" w:rsidRPr="00B65075" w:rsidRDefault="008462ED" w:rsidP="00B65075">
      <w:pPr>
        <w:pStyle w:val="1"/>
        <w:rPr>
          <w:rFonts w:eastAsia="新細明體" w:cs="Arial"/>
          <w:color w:val="000000" w:themeColor="text1"/>
          <w:lang w:eastAsia="zh-TW"/>
        </w:rPr>
      </w:pPr>
      <w:r>
        <w:rPr>
          <w:rFonts w:cs="Arial"/>
          <w:color w:val="000000" w:themeColor="text1"/>
        </w:rPr>
        <w:t>2</w:t>
      </w:r>
      <w:r w:rsidR="00B65075" w:rsidRPr="009F29FB">
        <w:rPr>
          <w:rFonts w:cs="Arial"/>
          <w:color w:val="000000" w:themeColor="text1"/>
        </w:rPr>
        <w:tab/>
      </w:r>
      <w:r w:rsidR="004B15E1" w:rsidRPr="004B15E1">
        <w:rPr>
          <w:rFonts w:cs="Arial"/>
          <w:color w:val="000000" w:themeColor="text1"/>
        </w:rPr>
        <w:t>Timing advance management to reduce latency</w:t>
      </w:r>
    </w:p>
    <w:p w14:paraId="31E06CF5" w14:textId="1F662BDD" w:rsidR="001C58C9" w:rsidRDefault="005B44FE" w:rsidP="00BF68D8">
      <w:pPr>
        <w:rPr>
          <w:rFonts w:ascii="Arial" w:hAnsi="Arial" w:cs="Arial"/>
          <w:sz w:val="20"/>
          <w:szCs w:val="20"/>
          <w:lang w:val="en-GB"/>
        </w:rPr>
      </w:pPr>
      <w:r w:rsidRPr="006803A1">
        <w:rPr>
          <w:rFonts w:ascii="Arial" w:hAnsi="Arial" w:cs="Arial"/>
          <w:sz w:val="20"/>
          <w:szCs w:val="20"/>
          <w:lang w:val="en-GB"/>
        </w:rPr>
        <w:t>According to the</w:t>
      </w:r>
      <w:r>
        <w:rPr>
          <w:rFonts w:ascii="Arial" w:hAnsi="Arial" w:cs="Arial"/>
          <w:sz w:val="20"/>
          <w:szCs w:val="20"/>
          <w:lang w:val="en-GB"/>
        </w:rPr>
        <w:t xml:space="preserve"> RAN2 conclusions, reducing the HO interruption time is the agreed </w:t>
      </w:r>
      <w:r w:rsidRPr="004E12E9">
        <w:rPr>
          <w:rFonts w:ascii="Arial" w:hAnsi="Arial" w:cs="Arial"/>
          <w:sz w:val="20"/>
          <w:szCs w:val="20"/>
          <w:lang w:val="en-GB"/>
        </w:rPr>
        <w:t>improvement goal.</w:t>
      </w:r>
      <w:r>
        <w:rPr>
          <w:rFonts w:ascii="Arial" w:hAnsi="Arial" w:cs="Arial"/>
          <w:sz w:val="20"/>
          <w:szCs w:val="20"/>
          <w:lang w:val="en-GB"/>
        </w:rPr>
        <w:t xml:space="preserve"> </w:t>
      </w:r>
      <w:r w:rsidR="001C58C9">
        <w:rPr>
          <w:rFonts w:ascii="Arial" w:hAnsi="Arial" w:cs="Arial"/>
          <w:sz w:val="20"/>
          <w:szCs w:val="20"/>
          <w:lang w:val="en-GB"/>
        </w:rPr>
        <w:t xml:space="preserve">Considering that </w:t>
      </w:r>
      <w:r>
        <w:rPr>
          <w:rFonts w:ascii="Arial" w:hAnsi="Arial" w:cs="Arial"/>
          <w:sz w:val="20"/>
          <w:szCs w:val="20"/>
          <w:lang w:val="en-GB"/>
        </w:rPr>
        <w:t>the interruption time mainly contributed by the DL/UL synchronization time after the cell switch command</w:t>
      </w:r>
      <w:r w:rsidR="001C58C9">
        <w:rPr>
          <w:rFonts w:ascii="Arial" w:hAnsi="Arial" w:cs="Arial"/>
          <w:sz w:val="20"/>
          <w:szCs w:val="20"/>
          <w:lang w:val="en-GB"/>
        </w:rPr>
        <w:t>, t</w:t>
      </w:r>
      <w:r>
        <w:rPr>
          <w:rFonts w:ascii="Arial" w:hAnsi="Arial" w:cs="Arial"/>
          <w:sz w:val="20"/>
          <w:szCs w:val="20"/>
          <w:lang w:val="en-GB"/>
        </w:rPr>
        <w:t xml:space="preserve">o further reduce the handover interruption time, UE </w:t>
      </w:r>
      <w:proofErr w:type="gramStart"/>
      <w:r>
        <w:rPr>
          <w:rFonts w:ascii="Arial" w:hAnsi="Arial" w:cs="Arial"/>
          <w:sz w:val="20"/>
          <w:szCs w:val="20"/>
          <w:lang w:val="en-GB"/>
        </w:rPr>
        <w:t>has to</w:t>
      </w:r>
      <w:proofErr w:type="gramEnd"/>
      <w:r>
        <w:rPr>
          <w:rFonts w:ascii="Arial" w:hAnsi="Arial" w:cs="Arial"/>
          <w:sz w:val="20"/>
          <w:szCs w:val="20"/>
          <w:lang w:val="en-GB"/>
        </w:rPr>
        <w:t xml:space="preserve"> measure the DL RS of candidate cell and transmit PRACH toward candidate cell in advance. </w:t>
      </w:r>
      <w:r w:rsidR="000A43ED" w:rsidRPr="00C8174A">
        <w:rPr>
          <w:rFonts w:ascii="Arial" w:hAnsi="Arial" w:cs="Arial"/>
          <w:sz w:val="20"/>
          <w:szCs w:val="20"/>
          <w:lang w:val="en-GB"/>
        </w:rPr>
        <w:t>In the last meeting</w:t>
      </w:r>
      <w:r w:rsidR="00FE1881" w:rsidRPr="00C8174A">
        <w:rPr>
          <w:rFonts w:ascii="Arial" w:hAnsi="Arial" w:cs="Arial"/>
          <w:sz w:val="20"/>
          <w:szCs w:val="20"/>
          <w:lang w:val="en-GB"/>
        </w:rPr>
        <w:t xml:space="preserve">, </w:t>
      </w:r>
      <w:r w:rsidR="00BF68D8">
        <w:rPr>
          <w:rFonts w:ascii="Arial" w:hAnsi="Arial" w:cs="Arial"/>
          <w:sz w:val="20"/>
          <w:szCs w:val="20"/>
          <w:lang w:val="en-GB"/>
        </w:rPr>
        <w:t>companies agreed to s</w:t>
      </w:r>
      <w:r w:rsidR="00BF68D8" w:rsidRPr="00BF68D8">
        <w:rPr>
          <w:rFonts w:ascii="Arial" w:hAnsi="Arial" w:cs="Arial"/>
          <w:sz w:val="20"/>
          <w:szCs w:val="20"/>
          <w:lang w:val="en-GB"/>
        </w:rPr>
        <w:t xml:space="preserve">upport TA acquisition of candidate cell(s) before cell switch command is received in </w:t>
      </w:r>
      <w:r w:rsidR="005B1CFC" w:rsidRPr="005B1CFC">
        <w:rPr>
          <w:rFonts w:ascii="Arial" w:hAnsi="Arial" w:cs="Arial"/>
          <w:sz w:val="20"/>
          <w:szCs w:val="20"/>
          <w:lang w:val="en-GB"/>
        </w:rPr>
        <w:t>LTM</w:t>
      </w:r>
      <w:r w:rsidR="00BF68D8" w:rsidRPr="00BF68D8">
        <w:rPr>
          <w:rFonts w:ascii="Arial" w:hAnsi="Arial" w:cs="Arial"/>
          <w:sz w:val="20"/>
          <w:szCs w:val="20"/>
          <w:lang w:val="en-GB"/>
        </w:rPr>
        <w:t>.</w:t>
      </w:r>
      <w:r w:rsidR="00BF68D8">
        <w:rPr>
          <w:rFonts w:ascii="Arial" w:hAnsi="Arial" w:cs="Arial"/>
          <w:sz w:val="20"/>
          <w:szCs w:val="20"/>
          <w:lang w:val="en-GB"/>
        </w:rPr>
        <w:t xml:space="preserve"> </w:t>
      </w:r>
      <w:r w:rsidR="001C58C9">
        <w:rPr>
          <w:rFonts w:ascii="Arial" w:hAnsi="Arial" w:cs="Arial"/>
          <w:sz w:val="20"/>
          <w:szCs w:val="20"/>
          <w:lang w:val="en-GB"/>
        </w:rPr>
        <w:t xml:space="preserve">Based on the </w:t>
      </w:r>
      <w:r w:rsidR="001C58C9" w:rsidRPr="00575E71">
        <w:rPr>
          <w:rFonts w:ascii="Arial" w:hAnsi="Arial" w:cs="Arial"/>
          <w:sz w:val="20"/>
          <w:szCs w:val="20"/>
          <w:lang w:val="en-GB"/>
        </w:rPr>
        <w:t xml:space="preserve">baseline time chart provided </w:t>
      </w:r>
      <w:r w:rsidR="001C58C9">
        <w:rPr>
          <w:rFonts w:ascii="Arial" w:hAnsi="Arial" w:cs="Arial"/>
          <w:sz w:val="20"/>
          <w:szCs w:val="20"/>
          <w:lang w:val="en-GB"/>
        </w:rPr>
        <w:t>in RAN2 discussion</w:t>
      </w:r>
      <w:r w:rsidR="001C58C9" w:rsidRPr="00575E71">
        <w:rPr>
          <w:rFonts w:ascii="Arial" w:hAnsi="Arial" w:cs="Arial"/>
          <w:sz w:val="20"/>
          <w:szCs w:val="20"/>
          <w:lang w:val="en-GB"/>
        </w:rPr>
        <w:t xml:space="preserve"> [Post119-e][036]</w:t>
      </w:r>
      <w:r w:rsidR="001C58C9">
        <w:rPr>
          <w:rFonts w:ascii="Arial" w:hAnsi="Arial" w:cs="Arial"/>
          <w:sz w:val="20"/>
          <w:szCs w:val="20"/>
          <w:lang w:val="en-GB"/>
        </w:rPr>
        <w:t xml:space="preserve">, we provide a modified time chart as shown in below </w:t>
      </w:r>
      <w:r w:rsidR="001C58C9">
        <w:rPr>
          <w:rFonts w:ascii="Arial" w:hAnsi="Arial" w:cs="Arial"/>
          <w:sz w:val="20"/>
          <w:szCs w:val="20"/>
          <w:lang w:val="en-GB"/>
        </w:rPr>
        <w:fldChar w:fldCharType="begin"/>
      </w:r>
      <w:r w:rsidR="001C58C9">
        <w:rPr>
          <w:rFonts w:ascii="Arial" w:hAnsi="Arial" w:cs="Arial"/>
          <w:sz w:val="20"/>
          <w:szCs w:val="20"/>
          <w:lang w:val="en-GB"/>
        </w:rPr>
        <w:instrText xml:space="preserve"> REF _Ref118727418 \h  \* MERGEFORMAT </w:instrText>
      </w:r>
      <w:r w:rsidR="001C58C9">
        <w:rPr>
          <w:rFonts w:ascii="Arial" w:hAnsi="Arial" w:cs="Arial"/>
          <w:sz w:val="20"/>
          <w:szCs w:val="20"/>
          <w:lang w:val="en-GB"/>
        </w:rPr>
      </w:r>
      <w:r w:rsidR="001C58C9">
        <w:rPr>
          <w:rFonts w:ascii="Arial" w:hAnsi="Arial" w:cs="Arial"/>
          <w:sz w:val="20"/>
          <w:szCs w:val="20"/>
          <w:lang w:val="en-GB"/>
        </w:rPr>
        <w:fldChar w:fldCharType="separate"/>
      </w:r>
      <w:r w:rsidR="001C74BC" w:rsidRPr="00B35D70">
        <w:rPr>
          <w:rFonts w:ascii="Arial" w:hAnsi="Arial" w:cs="Arial"/>
          <w:sz w:val="20"/>
          <w:szCs w:val="20"/>
          <w:lang w:val="en-GB"/>
        </w:rPr>
        <w:t>Figure 1</w:t>
      </w:r>
      <w:r w:rsidR="001C58C9">
        <w:rPr>
          <w:rFonts w:ascii="Arial" w:hAnsi="Arial" w:cs="Arial"/>
          <w:sz w:val="20"/>
          <w:szCs w:val="20"/>
          <w:lang w:val="en-GB"/>
        </w:rPr>
        <w:fldChar w:fldCharType="end"/>
      </w:r>
      <w:r w:rsidR="001C58C9">
        <w:rPr>
          <w:rFonts w:ascii="Arial" w:hAnsi="Arial" w:cs="Arial"/>
          <w:sz w:val="20"/>
          <w:szCs w:val="20"/>
          <w:lang w:val="en-GB"/>
        </w:rPr>
        <w:t>.</w:t>
      </w:r>
    </w:p>
    <w:p w14:paraId="40B97798" w14:textId="77777777" w:rsidR="001C58C9" w:rsidRDefault="001C58C9" w:rsidP="00BF68D8">
      <w:pPr>
        <w:rPr>
          <w:rFonts w:ascii="Arial" w:hAnsi="Arial" w:cs="Arial"/>
          <w:sz w:val="20"/>
          <w:szCs w:val="20"/>
          <w:lang w:val="en-GB"/>
        </w:rPr>
      </w:pPr>
    </w:p>
    <w:p w14:paraId="6536F85D" w14:textId="77777777" w:rsidR="005B44FE" w:rsidRDefault="005B44FE" w:rsidP="005B44FE">
      <w:pPr>
        <w:spacing w:before="120" w:after="120"/>
        <w:jc w:val="both"/>
        <w:rPr>
          <w:rFonts w:ascii="Arial" w:hAnsi="Arial" w:cs="Arial"/>
          <w:sz w:val="20"/>
          <w:szCs w:val="20"/>
          <w:lang w:val="en-GB"/>
        </w:rPr>
      </w:pPr>
      <w:r>
        <w:rPr>
          <w:rFonts w:ascii="Arial" w:hAnsi="Arial" w:cs="Arial"/>
          <w:noProof/>
          <w:sz w:val="20"/>
          <w:szCs w:val="20"/>
          <w:lang w:val="en-GB"/>
        </w:rPr>
        <w:drawing>
          <wp:inline distT="0" distB="0" distL="0" distR="0" wp14:anchorId="07F2CF61" wp14:editId="090A7AF5">
            <wp:extent cx="7106285" cy="1411140"/>
            <wp:effectExtent l="0" t="0" r="0"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60512" cy="1421908"/>
                    </a:xfrm>
                    <a:prstGeom prst="rect">
                      <a:avLst/>
                    </a:prstGeom>
                    <a:noFill/>
                  </pic:spPr>
                </pic:pic>
              </a:graphicData>
            </a:graphic>
          </wp:inline>
        </w:drawing>
      </w:r>
    </w:p>
    <w:p w14:paraId="08E302E5" w14:textId="2DAD878A" w:rsidR="005B44FE" w:rsidRPr="00FA2459" w:rsidRDefault="005B44FE" w:rsidP="005B44FE">
      <w:pPr>
        <w:pStyle w:val="af3"/>
        <w:jc w:val="center"/>
        <w:rPr>
          <w:rFonts w:ascii="Arial" w:hAnsi="Arial" w:cs="Arial"/>
          <w:b w:val="0"/>
          <w:bCs/>
          <w:lang w:val="en-GB"/>
        </w:rPr>
      </w:pPr>
      <w:bookmarkStart w:id="8" w:name="_Ref118727418"/>
      <w:r w:rsidRPr="00EE5BB8">
        <w:rPr>
          <w:rFonts w:ascii="Arial" w:hAnsi="Arial" w:cs="Arial"/>
          <w:bCs/>
          <w:lang w:val="en-GB"/>
        </w:rPr>
        <w:t xml:space="preserve">Figure </w:t>
      </w:r>
      <w:r w:rsidRPr="00EE5BB8">
        <w:rPr>
          <w:rFonts w:ascii="Arial" w:hAnsi="Arial" w:cs="Arial"/>
          <w:bCs/>
          <w:lang w:val="en-GB"/>
        </w:rPr>
        <w:fldChar w:fldCharType="begin"/>
      </w:r>
      <w:r w:rsidRPr="00EE5BB8">
        <w:rPr>
          <w:rFonts w:ascii="Arial" w:hAnsi="Arial" w:cs="Arial"/>
          <w:bCs/>
          <w:lang w:val="en-GB"/>
        </w:rPr>
        <w:instrText xml:space="preserve"> SEQ Figure \* ARABIC </w:instrText>
      </w:r>
      <w:r w:rsidRPr="00EE5BB8">
        <w:rPr>
          <w:rFonts w:ascii="Arial" w:hAnsi="Arial" w:cs="Arial"/>
          <w:bCs/>
          <w:lang w:val="en-GB"/>
        </w:rPr>
        <w:fldChar w:fldCharType="separate"/>
      </w:r>
      <w:r w:rsidR="001C74BC">
        <w:rPr>
          <w:rFonts w:ascii="Arial" w:hAnsi="Arial" w:cs="Arial"/>
          <w:bCs/>
          <w:noProof/>
          <w:lang w:val="en-GB"/>
        </w:rPr>
        <w:t>1</w:t>
      </w:r>
      <w:r w:rsidRPr="00EE5BB8">
        <w:rPr>
          <w:rFonts w:ascii="Arial" w:hAnsi="Arial" w:cs="Arial"/>
          <w:bCs/>
          <w:lang w:val="en-GB"/>
        </w:rPr>
        <w:fldChar w:fldCharType="end"/>
      </w:r>
      <w:bookmarkEnd w:id="8"/>
      <w:r w:rsidRPr="00EE5BB8">
        <w:rPr>
          <w:rFonts w:ascii="Arial" w:hAnsi="Arial" w:cs="Arial"/>
          <w:bCs/>
          <w:lang w:val="en-GB"/>
        </w:rPr>
        <w:t xml:space="preserve">: </w:t>
      </w:r>
      <w:r w:rsidR="001C58C9">
        <w:rPr>
          <w:rFonts w:ascii="Arial" w:hAnsi="Arial" w:cs="Arial"/>
          <w:bCs/>
          <w:lang w:val="en-GB"/>
        </w:rPr>
        <w:t>LTM m</w:t>
      </w:r>
      <w:r>
        <w:rPr>
          <w:rFonts w:ascii="Arial" w:hAnsi="Arial" w:cs="Arial"/>
          <w:bCs/>
          <w:lang w:val="en-GB"/>
        </w:rPr>
        <w:t>obility latency time chart</w:t>
      </w:r>
    </w:p>
    <w:p w14:paraId="64B5A313" w14:textId="0710101B" w:rsidR="005B44FE" w:rsidRDefault="005B44FE" w:rsidP="00BF68D8">
      <w:pPr>
        <w:rPr>
          <w:rFonts w:ascii="Arial" w:hAnsi="Arial" w:cs="Arial"/>
          <w:sz w:val="20"/>
          <w:szCs w:val="20"/>
          <w:lang w:val="en-GB"/>
        </w:rPr>
      </w:pPr>
    </w:p>
    <w:p w14:paraId="5A9981A3" w14:textId="235CCBBE" w:rsidR="005C1872" w:rsidRDefault="00BF68D8" w:rsidP="00BF68D8">
      <w:pPr>
        <w:rPr>
          <w:rFonts w:ascii="Arial" w:hAnsi="Arial" w:cs="Arial"/>
          <w:sz w:val="20"/>
          <w:szCs w:val="20"/>
          <w:lang w:val="en-GB"/>
        </w:rPr>
      </w:pPr>
      <w:r>
        <w:rPr>
          <w:rFonts w:ascii="Arial" w:hAnsi="Arial" w:cs="Arial"/>
          <w:sz w:val="20"/>
          <w:szCs w:val="20"/>
          <w:lang w:val="en-GB"/>
        </w:rPr>
        <w:t>Based on</w:t>
      </w:r>
      <w:r w:rsidRPr="004C54B7">
        <w:rPr>
          <w:rFonts w:ascii="Arial" w:hAnsi="Arial" w:cs="Arial"/>
          <w:sz w:val="20"/>
          <w:szCs w:val="20"/>
          <w:lang w:val="en-GB"/>
        </w:rPr>
        <w:t xml:space="preserve"> RAN2 conclusions</w:t>
      </w:r>
      <w:r>
        <w:rPr>
          <w:rFonts w:ascii="Arial" w:hAnsi="Arial" w:cs="Arial"/>
          <w:sz w:val="20"/>
          <w:szCs w:val="20"/>
          <w:lang w:val="en-GB"/>
        </w:rPr>
        <w:t xml:space="preserve">, we know that </w:t>
      </w:r>
      <w:r w:rsidRPr="0015694D">
        <w:rPr>
          <w:rFonts w:ascii="Arial" w:hAnsi="Arial" w:cs="Arial"/>
          <w:sz w:val="20"/>
          <w:szCs w:val="20"/>
          <w:lang w:val="en-GB"/>
        </w:rPr>
        <w:t xml:space="preserve">ICBM will be considered as one of the cases supported for </w:t>
      </w:r>
      <w:r w:rsidR="000F7D16" w:rsidRPr="005C1872">
        <w:rPr>
          <w:rFonts w:ascii="Arial" w:hAnsi="Arial" w:cs="Arial"/>
          <w:sz w:val="20"/>
          <w:szCs w:val="20"/>
          <w:lang w:val="en-GB"/>
        </w:rPr>
        <w:t>LTM</w:t>
      </w:r>
      <w:r>
        <w:rPr>
          <w:rFonts w:ascii="Arial" w:hAnsi="Arial" w:cs="Arial"/>
          <w:sz w:val="20"/>
          <w:szCs w:val="20"/>
          <w:lang w:val="en-GB"/>
        </w:rPr>
        <w:t xml:space="preserve">. As shown in </w:t>
      </w:r>
      <w:r>
        <w:rPr>
          <w:rFonts w:ascii="Arial" w:hAnsi="Arial" w:cs="Arial"/>
          <w:sz w:val="20"/>
          <w:szCs w:val="20"/>
          <w:lang w:val="en-GB"/>
        </w:rPr>
        <w:fldChar w:fldCharType="begin"/>
      </w:r>
      <w:r>
        <w:rPr>
          <w:rFonts w:ascii="Arial" w:hAnsi="Arial" w:cs="Arial"/>
          <w:sz w:val="20"/>
          <w:szCs w:val="20"/>
          <w:lang w:val="en-GB"/>
        </w:rPr>
        <w:instrText xml:space="preserve"> REF _Ref115362039 \h  \* MERGEFORMAT </w:instrText>
      </w:r>
      <w:r>
        <w:rPr>
          <w:rFonts w:ascii="Arial" w:hAnsi="Arial" w:cs="Arial"/>
          <w:sz w:val="20"/>
          <w:szCs w:val="20"/>
          <w:lang w:val="en-GB"/>
        </w:rPr>
      </w:r>
      <w:r>
        <w:rPr>
          <w:rFonts w:ascii="Arial" w:hAnsi="Arial" w:cs="Arial"/>
          <w:sz w:val="20"/>
          <w:szCs w:val="20"/>
          <w:lang w:val="en-GB"/>
        </w:rPr>
        <w:fldChar w:fldCharType="separate"/>
      </w:r>
      <w:r w:rsidR="001C74BC" w:rsidRPr="00B35D70">
        <w:rPr>
          <w:rFonts w:ascii="Arial" w:hAnsi="Arial" w:cs="Arial"/>
          <w:sz w:val="20"/>
          <w:szCs w:val="20"/>
          <w:lang w:val="en-GB"/>
        </w:rPr>
        <w:t>Figure 2</w:t>
      </w:r>
      <w:r>
        <w:rPr>
          <w:rFonts w:ascii="Arial" w:hAnsi="Arial" w:cs="Arial"/>
          <w:sz w:val="20"/>
          <w:szCs w:val="20"/>
          <w:lang w:val="en-GB"/>
        </w:rPr>
        <w:fldChar w:fldCharType="end"/>
      </w:r>
      <w:r>
        <w:rPr>
          <w:rFonts w:ascii="Arial" w:hAnsi="Arial" w:cs="Arial"/>
          <w:sz w:val="20"/>
          <w:szCs w:val="20"/>
          <w:lang w:val="en-GB"/>
        </w:rPr>
        <w:t xml:space="preserve"> (a), Rel-17 ICBM applies the unified TCI framework, UE switches to a non-serving beam which is indicated in the TCI state. </w:t>
      </w:r>
      <w:r>
        <w:rPr>
          <w:rFonts w:ascii="Arial" w:hAnsi="Arial" w:cs="Arial" w:hint="eastAsia"/>
          <w:sz w:val="20"/>
          <w:szCs w:val="20"/>
          <w:lang w:val="en-GB"/>
        </w:rPr>
        <w:t>C</w:t>
      </w:r>
      <w:r>
        <w:rPr>
          <w:rFonts w:ascii="Arial" w:hAnsi="Arial" w:cs="Arial"/>
          <w:sz w:val="20"/>
          <w:szCs w:val="20"/>
          <w:lang w:val="en-GB"/>
        </w:rPr>
        <w:t xml:space="preserve">urrently, RAN4 assumes that non-serving cell L1 measurement will only be performed on the known cell, i.e., the cell that L3 measurement has already been done. </w:t>
      </w:r>
      <w:r>
        <w:rPr>
          <w:rFonts w:ascii="Arial" w:hAnsi="Arial" w:cs="Arial" w:hint="eastAsia"/>
          <w:sz w:val="20"/>
          <w:szCs w:val="20"/>
          <w:lang w:val="en-GB"/>
        </w:rPr>
        <w:t>I</w:t>
      </w:r>
      <w:r>
        <w:rPr>
          <w:rFonts w:ascii="Arial" w:hAnsi="Arial" w:cs="Arial"/>
          <w:sz w:val="20"/>
          <w:szCs w:val="20"/>
          <w:lang w:val="en-GB"/>
        </w:rPr>
        <w:t>n the meanwhile,</w:t>
      </w:r>
      <w:r w:rsidRPr="00924F98">
        <w:rPr>
          <w:rFonts w:ascii="Arial" w:hAnsi="Arial" w:cs="Arial"/>
          <w:sz w:val="20"/>
          <w:szCs w:val="20"/>
          <w:lang w:val="en-GB"/>
        </w:rPr>
        <w:t xml:space="preserve"> DL reception time difference of SSBs/CSI RS between serving cell and</w:t>
      </w:r>
      <w:r>
        <w:rPr>
          <w:rFonts w:ascii="Arial" w:hAnsi="Arial" w:cs="Arial"/>
          <w:sz w:val="20"/>
          <w:szCs w:val="20"/>
          <w:lang w:val="en-GB"/>
        </w:rPr>
        <w:t xml:space="preserve"> non-serving cell</w:t>
      </w:r>
      <w:r w:rsidRPr="00924F98">
        <w:rPr>
          <w:rFonts w:ascii="Arial" w:hAnsi="Arial" w:cs="Arial"/>
          <w:sz w:val="20"/>
          <w:szCs w:val="20"/>
          <w:lang w:val="en-GB"/>
        </w:rPr>
        <w:t xml:space="preserve"> is within </w:t>
      </w:r>
      <w:r>
        <w:rPr>
          <w:rFonts w:ascii="Arial" w:hAnsi="Arial" w:cs="Arial"/>
          <w:sz w:val="20"/>
          <w:szCs w:val="20"/>
          <w:lang w:val="en-GB"/>
        </w:rPr>
        <w:t xml:space="preserve">one </w:t>
      </w:r>
      <w:r w:rsidRPr="00924F98">
        <w:rPr>
          <w:rFonts w:ascii="Arial" w:hAnsi="Arial" w:cs="Arial"/>
          <w:sz w:val="20"/>
          <w:szCs w:val="20"/>
          <w:lang w:val="en-GB"/>
        </w:rPr>
        <w:t>CP duration</w:t>
      </w:r>
      <w:r>
        <w:rPr>
          <w:rFonts w:ascii="Arial" w:hAnsi="Arial" w:cs="Arial"/>
          <w:sz w:val="20"/>
          <w:szCs w:val="20"/>
          <w:lang w:val="en-GB"/>
        </w:rPr>
        <w:t xml:space="preserve">. It means that the timing difference, </w:t>
      </w:r>
      <w:proofErr w:type="gramStart"/>
      <w:r>
        <w:rPr>
          <w:rFonts w:ascii="Arial" w:hAnsi="Arial" w:cs="Arial"/>
          <w:sz w:val="20"/>
          <w:szCs w:val="20"/>
          <w:lang w:val="en-GB"/>
        </w:rPr>
        <w:t>i.e.</w:t>
      </w:r>
      <w:proofErr w:type="gramEnd"/>
      <w:r>
        <w:rPr>
          <w:rFonts w:ascii="Arial" w:hAnsi="Arial" w:cs="Arial"/>
          <w:sz w:val="20"/>
          <w:szCs w:val="20"/>
          <w:lang w:val="en-GB"/>
        </w:rPr>
        <w:t xml:space="preserve"> clock error, between cells is relatively small. </w:t>
      </w:r>
    </w:p>
    <w:p w14:paraId="3642FA9F" w14:textId="5C26FB0C" w:rsidR="005C1872" w:rsidRDefault="005C1872" w:rsidP="00BF68D8">
      <w:pPr>
        <w:rPr>
          <w:rFonts w:ascii="Arial" w:hAnsi="Arial" w:cs="Arial"/>
          <w:sz w:val="20"/>
          <w:szCs w:val="20"/>
          <w:lang w:val="en-GB"/>
        </w:rPr>
      </w:pPr>
    </w:p>
    <w:p w14:paraId="5886C9A7" w14:textId="6AFFE900" w:rsidR="000F7D16" w:rsidRDefault="005C1872" w:rsidP="005C1872">
      <w:pPr>
        <w:rPr>
          <w:rFonts w:ascii="Arial" w:hAnsi="Arial" w:cs="Arial"/>
          <w:sz w:val="20"/>
          <w:szCs w:val="20"/>
          <w:lang w:val="en-GB"/>
        </w:rPr>
      </w:pPr>
      <w:r>
        <w:rPr>
          <w:rFonts w:ascii="Arial" w:hAnsi="Arial" w:cs="Arial" w:hint="eastAsia"/>
          <w:sz w:val="20"/>
          <w:szCs w:val="20"/>
          <w:lang w:val="en-GB"/>
        </w:rPr>
        <w:t>H</w:t>
      </w:r>
      <w:r>
        <w:rPr>
          <w:rFonts w:ascii="Arial" w:hAnsi="Arial" w:cs="Arial"/>
          <w:sz w:val="20"/>
          <w:szCs w:val="20"/>
          <w:lang w:val="en-GB"/>
        </w:rPr>
        <w:t xml:space="preserve">owever, </w:t>
      </w:r>
      <w:r w:rsidR="00483718">
        <w:rPr>
          <w:rFonts w:ascii="Arial" w:hAnsi="Arial" w:cs="Arial"/>
          <w:sz w:val="20"/>
          <w:szCs w:val="20"/>
          <w:lang w:val="en-GB"/>
        </w:rPr>
        <w:t>m</w:t>
      </w:r>
      <w:r w:rsidRPr="00EC2C9A">
        <w:rPr>
          <w:rFonts w:ascii="Arial" w:hAnsi="Arial" w:cs="Arial"/>
          <w:sz w:val="20"/>
          <w:szCs w:val="20"/>
          <w:lang w:val="en-GB"/>
        </w:rPr>
        <w:t xml:space="preserve">ost </w:t>
      </w:r>
      <w:r w:rsidR="000F7D16" w:rsidRPr="005C1872">
        <w:rPr>
          <w:rFonts w:ascii="Arial" w:hAnsi="Arial" w:cs="Arial"/>
          <w:sz w:val="20"/>
          <w:szCs w:val="20"/>
          <w:lang w:val="en-GB"/>
        </w:rPr>
        <w:t>LTM</w:t>
      </w:r>
      <w:r w:rsidRPr="00EC2C9A">
        <w:rPr>
          <w:rFonts w:ascii="Arial" w:hAnsi="Arial" w:cs="Arial"/>
          <w:sz w:val="20"/>
          <w:szCs w:val="20"/>
          <w:lang w:val="en-GB"/>
        </w:rPr>
        <w:t xml:space="preserve"> cases are </w:t>
      </w:r>
      <w:r>
        <w:rPr>
          <w:rFonts w:ascii="Arial" w:hAnsi="Arial" w:cs="Arial"/>
          <w:sz w:val="20"/>
          <w:szCs w:val="20"/>
          <w:lang w:val="en-GB"/>
        </w:rPr>
        <w:t xml:space="preserve">as </w:t>
      </w:r>
      <w:r w:rsidRPr="00EC2C9A">
        <w:rPr>
          <w:rFonts w:ascii="Arial" w:hAnsi="Arial" w:cs="Arial"/>
          <w:sz w:val="20"/>
          <w:szCs w:val="20"/>
          <w:lang w:val="en-GB"/>
        </w:rPr>
        <w:t>shown in</w:t>
      </w:r>
      <w:r>
        <w:rPr>
          <w:rFonts w:ascii="Arial" w:hAnsi="Arial" w:cs="Arial"/>
          <w:sz w:val="20"/>
          <w:szCs w:val="20"/>
          <w:lang w:val="en-GB"/>
        </w:rPr>
        <w:t xml:space="preserve"> </w:t>
      </w:r>
      <w:r>
        <w:rPr>
          <w:rFonts w:ascii="Arial" w:hAnsi="Arial" w:cs="Arial"/>
          <w:sz w:val="20"/>
          <w:szCs w:val="20"/>
          <w:lang w:val="en-GB"/>
        </w:rPr>
        <w:fldChar w:fldCharType="begin"/>
      </w:r>
      <w:r>
        <w:rPr>
          <w:rFonts w:ascii="Arial" w:hAnsi="Arial" w:cs="Arial"/>
          <w:sz w:val="20"/>
          <w:szCs w:val="20"/>
          <w:lang w:val="en-GB"/>
        </w:rPr>
        <w:instrText xml:space="preserve"> REF _Ref115362039 \h  \* MERGEFORMAT </w:instrText>
      </w:r>
      <w:r>
        <w:rPr>
          <w:rFonts w:ascii="Arial" w:hAnsi="Arial" w:cs="Arial"/>
          <w:sz w:val="20"/>
          <w:szCs w:val="20"/>
          <w:lang w:val="en-GB"/>
        </w:rPr>
      </w:r>
      <w:r>
        <w:rPr>
          <w:rFonts w:ascii="Arial" w:hAnsi="Arial" w:cs="Arial"/>
          <w:sz w:val="20"/>
          <w:szCs w:val="20"/>
          <w:lang w:val="en-GB"/>
        </w:rPr>
        <w:fldChar w:fldCharType="separate"/>
      </w:r>
      <w:r w:rsidR="001C74BC" w:rsidRPr="00B35D70">
        <w:rPr>
          <w:rFonts w:ascii="Arial" w:hAnsi="Arial" w:cs="Arial"/>
          <w:sz w:val="20"/>
          <w:szCs w:val="20"/>
          <w:lang w:val="en-GB"/>
        </w:rPr>
        <w:t>Figure 2</w:t>
      </w:r>
      <w:r>
        <w:rPr>
          <w:rFonts w:ascii="Arial" w:hAnsi="Arial" w:cs="Arial"/>
          <w:sz w:val="20"/>
          <w:szCs w:val="20"/>
          <w:lang w:val="en-GB"/>
        </w:rPr>
        <w:fldChar w:fldCharType="end"/>
      </w:r>
      <w:r>
        <w:rPr>
          <w:rFonts w:ascii="Arial" w:hAnsi="Arial" w:cs="Arial"/>
          <w:sz w:val="20"/>
          <w:szCs w:val="20"/>
          <w:lang w:val="en-GB"/>
        </w:rPr>
        <w:t xml:space="preserve"> (b), where the </w:t>
      </w:r>
      <w:r w:rsidRPr="003E6A3A">
        <w:rPr>
          <w:rFonts w:ascii="Arial" w:hAnsi="Arial" w:cs="Arial"/>
          <w:sz w:val="20"/>
          <w:szCs w:val="20"/>
          <w:lang w:val="en-GB"/>
        </w:rPr>
        <w:t xml:space="preserve">DL reception time difference between serving </w:t>
      </w:r>
      <w:r>
        <w:rPr>
          <w:rFonts w:ascii="Arial" w:hAnsi="Arial" w:cs="Arial"/>
          <w:sz w:val="20"/>
          <w:szCs w:val="20"/>
          <w:lang w:val="en-GB"/>
        </w:rPr>
        <w:t>cell</w:t>
      </w:r>
      <w:r w:rsidRPr="003E6A3A">
        <w:rPr>
          <w:rFonts w:ascii="Arial" w:hAnsi="Arial" w:cs="Arial"/>
          <w:sz w:val="20"/>
          <w:szCs w:val="20"/>
          <w:lang w:val="en-GB"/>
        </w:rPr>
        <w:t xml:space="preserve"> and </w:t>
      </w:r>
      <w:r>
        <w:rPr>
          <w:rFonts w:ascii="Arial" w:hAnsi="Arial" w:cs="Arial"/>
          <w:sz w:val="20"/>
          <w:szCs w:val="20"/>
          <w:lang w:val="en-GB"/>
        </w:rPr>
        <w:t>neighbouring</w:t>
      </w:r>
      <w:r w:rsidRPr="003E6A3A">
        <w:rPr>
          <w:rFonts w:ascii="Arial" w:hAnsi="Arial" w:cs="Arial"/>
          <w:sz w:val="20"/>
          <w:szCs w:val="20"/>
          <w:lang w:val="en-GB"/>
        </w:rPr>
        <w:t xml:space="preserve"> </w:t>
      </w:r>
      <w:r>
        <w:rPr>
          <w:rFonts w:ascii="Arial" w:hAnsi="Arial" w:cs="Arial"/>
          <w:sz w:val="20"/>
          <w:szCs w:val="20"/>
          <w:lang w:val="en-GB"/>
        </w:rPr>
        <w:t>cell</w:t>
      </w:r>
      <w:r w:rsidRPr="003E6A3A">
        <w:rPr>
          <w:rFonts w:ascii="Arial" w:hAnsi="Arial" w:cs="Arial"/>
          <w:sz w:val="20"/>
          <w:szCs w:val="20"/>
          <w:lang w:val="en-GB"/>
        </w:rPr>
        <w:t xml:space="preserve"> is</w:t>
      </w:r>
      <w:r>
        <w:rPr>
          <w:rFonts w:ascii="Arial" w:hAnsi="Arial" w:cs="Arial"/>
          <w:sz w:val="20"/>
          <w:szCs w:val="20"/>
          <w:lang w:val="en-GB"/>
        </w:rPr>
        <w:t xml:space="preserve"> larger than </w:t>
      </w:r>
      <w:r w:rsidRPr="003E6A3A">
        <w:rPr>
          <w:rFonts w:ascii="Arial" w:hAnsi="Arial" w:cs="Arial"/>
          <w:sz w:val="20"/>
          <w:szCs w:val="20"/>
          <w:lang w:val="en-GB"/>
        </w:rPr>
        <w:t>CP duration</w:t>
      </w:r>
      <w:r>
        <w:rPr>
          <w:rFonts w:ascii="Arial" w:hAnsi="Arial" w:cs="Arial"/>
          <w:sz w:val="20"/>
          <w:szCs w:val="20"/>
          <w:lang w:val="en-GB"/>
        </w:rPr>
        <w:t xml:space="preserve">. </w:t>
      </w:r>
      <w:r w:rsidR="000F7D16">
        <w:rPr>
          <w:rFonts w:ascii="Arial" w:hAnsi="Arial" w:cs="Arial"/>
          <w:sz w:val="20"/>
          <w:szCs w:val="20"/>
          <w:lang w:val="en-GB"/>
        </w:rPr>
        <w:t xml:space="preserve">It means that the TA values toward different candidate cells might be different and UE need to transmit PRACH </w:t>
      </w:r>
      <w:r w:rsidR="000F7D16" w:rsidRPr="000F7D16">
        <w:rPr>
          <w:rFonts w:ascii="Arial" w:hAnsi="Arial" w:cs="Arial"/>
          <w:sz w:val="20"/>
          <w:szCs w:val="20"/>
          <w:lang w:val="en-GB"/>
        </w:rPr>
        <w:t>toward different candidate cells</w:t>
      </w:r>
      <w:r w:rsidR="000F7D16">
        <w:rPr>
          <w:rFonts w:ascii="Arial" w:hAnsi="Arial" w:cs="Arial"/>
          <w:sz w:val="20"/>
          <w:szCs w:val="20"/>
          <w:lang w:val="en-GB"/>
        </w:rPr>
        <w:t xml:space="preserve"> before the cell switch command, such that Network can</w:t>
      </w:r>
      <w:r w:rsidR="007A1609">
        <w:rPr>
          <w:rFonts w:ascii="Arial" w:hAnsi="Arial" w:cs="Arial"/>
          <w:sz w:val="20"/>
          <w:szCs w:val="20"/>
          <w:lang w:val="en-GB"/>
        </w:rPr>
        <w:t xml:space="preserve"> </w:t>
      </w:r>
      <w:r w:rsidR="000F7D16">
        <w:rPr>
          <w:rFonts w:ascii="Arial" w:hAnsi="Arial" w:cs="Arial"/>
          <w:sz w:val="20"/>
          <w:szCs w:val="20"/>
          <w:lang w:val="en-GB"/>
        </w:rPr>
        <w:t xml:space="preserve">maintain multiple TAs in advance. In order </w:t>
      </w:r>
      <w:r w:rsidR="000F7D16" w:rsidRPr="000F7D16">
        <w:rPr>
          <w:rFonts w:ascii="Arial" w:hAnsi="Arial" w:cs="Arial"/>
          <w:sz w:val="20"/>
          <w:szCs w:val="20"/>
          <w:lang w:val="en-GB"/>
        </w:rPr>
        <w:t>to transmit PRACH toward different candidate cells</w:t>
      </w:r>
      <w:r w:rsidR="000F7D16">
        <w:rPr>
          <w:rFonts w:ascii="Arial" w:hAnsi="Arial" w:cs="Arial"/>
          <w:sz w:val="20"/>
          <w:szCs w:val="20"/>
          <w:lang w:val="en-GB"/>
        </w:rPr>
        <w:t xml:space="preserve">, UE need to </w:t>
      </w:r>
      <w:r w:rsidR="007614B4">
        <w:rPr>
          <w:rFonts w:ascii="Arial" w:hAnsi="Arial" w:cs="Arial"/>
          <w:sz w:val="20"/>
          <w:szCs w:val="20"/>
          <w:lang w:val="en-GB"/>
        </w:rPr>
        <w:t xml:space="preserve">perform precise time-frequency tracking on the </w:t>
      </w:r>
      <w:r w:rsidR="007614B4" w:rsidRPr="007614B4">
        <w:rPr>
          <w:rFonts w:ascii="Arial" w:hAnsi="Arial" w:cs="Arial"/>
          <w:sz w:val="20"/>
          <w:szCs w:val="20"/>
          <w:lang w:val="en-GB"/>
        </w:rPr>
        <w:t xml:space="preserve">candidate </w:t>
      </w:r>
      <w:proofErr w:type="gramStart"/>
      <w:r w:rsidR="007614B4" w:rsidRPr="007614B4">
        <w:rPr>
          <w:rFonts w:ascii="Arial" w:hAnsi="Arial" w:cs="Arial"/>
          <w:sz w:val="20"/>
          <w:szCs w:val="20"/>
          <w:lang w:val="en-GB"/>
        </w:rPr>
        <w:t>cell</w:t>
      </w:r>
      <w:proofErr w:type="gramEnd"/>
      <w:r w:rsidR="007614B4">
        <w:rPr>
          <w:rFonts w:ascii="Arial" w:hAnsi="Arial" w:cs="Arial"/>
          <w:sz w:val="20"/>
          <w:szCs w:val="20"/>
          <w:lang w:val="en-GB"/>
        </w:rPr>
        <w:t xml:space="preserve"> and it </w:t>
      </w:r>
      <w:r w:rsidR="007614B4" w:rsidRPr="007614B4">
        <w:rPr>
          <w:rFonts w:ascii="Arial" w:hAnsi="Arial" w:cs="Arial"/>
          <w:sz w:val="20"/>
          <w:szCs w:val="20"/>
          <w:lang w:val="en-GB"/>
        </w:rPr>
        <w:t xml:space="preserve">needs extra DL measurement resource including storage resource, RF resource, and hardware/software resource to perform </w:t>
      </w:r>
      <w:r w:rsidR="007614B4">
        <w:rPr>
          <w:rFonts w:ascii="Arial" w:hAnsi="Arial" w:cs="Arial"/>
          <w:sz w:val="20"/>
          <w:szCs w:val="20"/>
          <w:lang w:val="en-GB"/>
        </w:rPr>
        <w:t>the DL synchronization. T</w:t>
      </w:r>
      <w:r w:rsidR="007614B4" w:rsidRPr="007614B4">
        <w:rPr>
          <w:rFonts w:ascii="Arial" w:hAnsi="Arial" w:cs="Arial"/>
          <w:sz w:val="20"/>
          <w:szCs w:val="20"/>
          <w:lang w:val="en-GB"/>
        </w:rPr>
        <w:t xml:space="preserve">hat limits the number of TAs/TAGs that UE can </w:t>
      </w:r>
      <w:r w:rsidR="007614B4">
        <w:rPr>
          <w:rFonts w:ascii="Arial" w:hAnsi="Arial" w:cs="Arial"/>
          <w:sz w:val="20"/>
          <w:szCs w:val="20"/>
          <w:lang w:val="en-GB"/>
        </w:rPr>
        <w:t>support, so we think that t</w:t>
      </w:r>
      <w:r w:rsidR="007614B4" w:rsidRPr="007614B4">
        <w:rPr>
          <w:rFonts w:ascii="Arial" w:hAnsi="Arial" w:cs="Arial"/>
          <w:sz w:val="20"/>
          <w:szCs w:val="20"/>
          <w:lang w:val="en-GB"/>
        </w:rPr>
        <w:t>he maximum number of TAs/TAGs among all candidate cells shall be a UE capability.</w:t>
      </w:r>
    </w:p>
    <w:p w14:paraId="01F1E501" w14:textId="2EEBDED2" w:rsidR="001C74BC" w:rsidRDefault="007614B4" w:rsidP="007614B4">
      <w:pPr>
        <w:pStyle w:val="af3"/>
        <w:rPr>
          <w:rFonts w:ascii="Arial" w:hAnsi="Arial" w:cs="Arial"/>
          <w:i/>
          <w:sz w:val="22"/>
          <w:szCs w:val="22"/>
        </w:rPr>
      </w:pPr>
      <w:bookmarkStart w:id="9" w:name="_Ref118738668"/>
      <w:r w:rsidRPr="00156CB0">
        <w:rPr>
          <w:rFonts w:ascii="Arial" w:hAnsi="Arial" w:cs="Arial"/>
          <w:i/>
          <w:sz w:val="22"/>
          <w:szCs w:val="22"/>
        </w:rPr>
        <w:t xml:space="preserve">Proposal </w:t>
      </w:r>
      <w:r w:rsidRPr="00156CB0">
        <w:rPr>
          <w:rFonts w:ascii="Arial" w:hAnsi="Arial" w:cs="Arial"/>
          <w:i/>
          <w:sz w:val="22"/>
          <w:szCs w:val="22"/>
        </w:rPr>
        <w:fldChar w:fldCharType="begin"/>
      </w:r>
      <w:r w:rsidRPr="00156CB0">
        <w:rPr>
          <w:rFonts w:ascii="Arial" w:hAnsi="Arial" w:cs="Arial"/>
          <w:i/>
          <w:sz w:val="22"/>
          <w:szCs w:val="22"/>
        </w:rPr>
        <w:instrText xml:space="preserve"> SEQ Proposal \* ARABIC </w:instrText>
      </w:r>
      <w:r w:rsidRPr="00156CB0">
        <w:rPr>
          <w:rFonts w:ascii="Arial" w:hAnsi="Arial" w:cs="Arial"/>
          <w:i/>
          <w:sz w:val="22"/>
          <w:szCs w:val="22"/>
        </w:rPr>
        <w:fldChar w:fldCharType="separate"/>
      </w:r>
      <w:r w:rsidR="001C74BC">
        <w:rPr>
          <w:rFonts w:ascii="Arial" w:hAnsi="Arial" w:cs="Arial"/>
          <w:i/>
          <w:noProof/>
          <w:sz w:val="22"/>
          <w:szCs w:val="22"/>
        </w:rPr>
        <w:t>1</w:t>
      </w:r>
      <w:r w:rsidRPr="00156CB0">
        <w:rPr>
          <w:rFonts w:ascii="Arial" w:hAnsi="Arial" w:cs="Arial"/>
          <w:i/>
          <w:sz w:val="22"/>
          <w:szCs w:val="22"/>
        </w:rPr>
        <w:fldChar w:fldCharType="end"/>
      </w:r>
      <w:r w:rsidRPr="00156CB0">
        <w:rPr>
          <w:rFonts w:ascii="Arial" w:hAnsi="Arial" w:cs="Arial"/>
          <w:i/>
          <w:sz w:val="22"/>
          <w:szCs w:val="22"/>
        </w:rPr>
        <w:t xml:space="preserve">: For TA management in L1/L2 based mobility, 1 TA/TAG per candidate cell can be </w:t>
      </w:r>
      <w:r w:rsidRPr="00156CB0">
        <w:rPr>
          <w:rFonts w:ascii="Arial" w:hAnsi="Arial" w:cs="Arial"/>
          <w:i/>
          <w:sz w:val="22"/>
          <w:szCs w:val="22"/>
        </w:rPr>
        <w:lastRenderedPageBreak/>
        <w:t>acquire</w:t>
      </w:r>
      <w:r w:rsidR="001C74BC">
        <w:rPr>
          <w:rFonts w:ascii="Arial" w:hAnsi="Arial" w:cs="Arial"/>
          <w:i/>
          <w:sz w:val="22"/>
          <w:szCs w:val="22"/>
        </w:rPr>
        <w:t xml:space="preserve">d </w:t>
      </w:r>
    </w:p>
    <w:p w14:paraId="1BF98C7B" w14:textId="77777777" w:rsidR="001C74BC" w:rsidRDefault="001C74BC" w:rsidP="007A1609">
      <w:pPr>
        <w:pStyle w:val="af3"/>
        <w:numPr>
          <w:ilvl w:val="0"/>
          <w:numId w:val="35"/>
        </w:numPr>
        <w:rPr>
          <w:rFonts w:ascii="Arial" w:hAnsi="Arial" w:cs="Arial"/>
          <w:i/>
          <w:sz w:val="22"/>
          <w:szCs w:val="22"/>
        </w:rPr>
      </w:pPr>
      <w:r w:rsidRPr="007614B4">
        <w:rPr>
          <w:rFonts w:ascii="Arial" w:hAnsi="Arial" w:cs="Arial" w:hint="eastAsia"/>
          <w:i/>
          <w:sz w:val="22"/>
          <w:szCs w:val="22"/>
        </w:rPr>
        <w:t>The number of TAs/TAGs among all candidate cells can be larger than</w:t>
      </w:r>
      <w:r>
        <w:rPr>
          <w:rFonts w:ascii="Arial" w:hAnsi="Arial" w:cs="Arial"/>
          <w:i/>
          <w:sz w:val="22"/>
          <w:szCs w:val="22"/>
        </w:rPr>
        <w:t xml:space="preserve"> 1 </w:t>
      </w:r>
    </w:p>
    <w:p w14:paraId="5A974E81" w14:textId="3DD5A441" w:rsidR="001C74BC" w:rsidRDefault="001C74BC" w:rsidP="007A1609">
      <w:pPr>
        <w:pStyle w:val="af3"/>
        <w:numPr>
          <w:ilvl w:val="0"/>
          <w:numId w:val="35"/>
        </w:numPr>
        <w:rPr>
          <w:rFonts w:ascii="Arial" w:hAnsi="Arial" w:cs="Arial"/>
          <w:i/>
          <w:sz w:val="22"/>
          <w:szCs w:val="22"/>
        </w:rPr>
      </w:pPr>
      <w:r w:rsidRPr="00E96D8B">
        <w:rPr>
          <w:rFonts w:ascii="Arial" w:hAnsi="Arial" w:cs="Arial" w:hint="eastAsia"/>
          <w:i/>
          <w:sz w:val="22"/>
          <w:szCs w:val="22"/>
        </w:rPr>
        <w:t>The maximum number of TAs/TAGs among all candidate cells shall be a UE capabilit</w:t>
      </w:r>
      <w:r>
        <w:rPr>
          <w:rFonts w:ascii="Arial" w:hAnsi="Arial" w:cs="Arial"/>
          <w:i/>
          <w:sz w:val="22"/>
          <w:szCs w:val="22"/>
        </w:rPr>
        <w:t>y</w:t>
      </w:r>
      <w:r w:rsidRPr="007614B4">
        <w:rPr>
          <w:rFonts w:ascii="Arial" w:hAnsi="Arial" w:cs="Arial" w:hint="eastAsia"/>
          <w:i/>
          <w:sz w:val="22"/>
          <w:szCs w:val="22"/>
        </w:rPr>
        <w:t xml:space="preserve"> </w:t>
      </w:r>
      <w:bookmarkEnd w:id="9"/>
    </w:p>
    <w:p w14:paraId="2C8EA860" w14:textId="25AA97CE" w:rsidR="000F7D16" w:rsidRDefault="000F7D16" w:rsidP="005C1872">
      <w:pPr>
        <w:rPr>
          <w:rFonts w:ascii="Arial" w:hAnsi="Arial" w:cs="Arial"/>
          <w:sz w:val="20"/>
          <w:szCs w:val="20"/>
        </w:rPr>
      </w:pPr>
    </w:p>
    <w:p w14:paraId="2366C485" w14:textId="628EFF67" w:rsidR="000F7D16" w:rsidRDefault="0096154A" w:rsidP="005C1872">
      <w:pPr>
        <w:rPr>
          <w:rFonts w:ascii="Arial" w:hAnsi="Arial" w:cs="Arial"/>
          <w:sz w:val="20"/>
          <w:szCs w:val="20"/>
          <w:lang w:val="en-GB"/>
        </w:rPr>
      </w:pPr>
      <w:r>
        <w:rPr>
          <w:rFonts w:ascii="Arial" w:hAnsi="Arial" w:cs="Arial"/>
          <w:sz w:val="20"/>
          <w:szCs w:val="20"/>
          <w:lang w:val="en-GB"/>
        </w:rPr>
        <w:t xml:space="preserve">The next discussion is the </w:t>
      </w:r>
      <w:r w:rsidRPr="0096154A">
        <w:rPr>
          <w:rFonts w:ascii="Arial" w:hAnsi="Arial" w:cs="Arial"/>
          <w:sz w:val="20"/>
          <w:szCs w:val="20"/>
          <w:lang w:val="en-GB"/>
        </w:rPr>
        <w:t>mechanism</w:t>
      </w:r>
      <w:r>
        <w:rPr>
          <w:rFonts w:ascii="Arial" w:hAnsi="Arial" w:cs="Arial"/>
          <w:sz w:val="20"/>
          <w:szCs w:val="20"/>
          <w:lang w:val="en-GB"/>
        </w:rPr>
        <w:t xml:space="preserve"> to support multiple TAs/TAGs among all candidate cells. </w:t>
      </w:r>
      <w:r w:rsidR="00453857" w:rsidRPr="00156CB0">
        <w:rPr>
          <w:rFonts w:ascii="Arial" w:hAnsi="Arial" w:cs="Arial"/>
          <w:sz w:val="20"/>
          <w:szCs w:val="20"/>
          <w:lang w:val="en-GB"/>
        </w:rPr>
        <w:t xml:space="preserve">In Rel-15/16/17, </w:t>
      </w:r>
      <w:r w:rsidR="00453857">
        <w:rPr>
          <w:rFonts w:ascii="Arial" w:hAnsi="Arial" w:cs="Arial"/>
          <w:sz w:val="20"/>
          <w:szCs w:val="20"/>
          <w:lang w:val="en-GB"/>
        </w:rPr>
        <w:t>only one RACH procedure can be performed at a time</w:t>
      </w:r>
      <w:r w:rsidR="00814982">
        <w:rPr>
          <w:rFonts w:ascii="Arial" w:hAnsi="Arial" w:cs="Arial"/>
          <w:sz w:val="20"/>
          <w:szCs w:val="20"/>
          <w:lang w:val="en-GB"/>
        </w:rPr>
        <w:t xml:space="preserve">. </w:t>
      </w:r>
      <w:r w:rsidR="003644D5">
        <w:rPr>
          <w:rFonts w:ascii="Arial" w:hAnsi="Arial" w:cs="Arial"/>
          <w:sz w:val="20"/>
          <w:szCs w:val="20"/>
          <w:lang w:val="en-GB"/>
        </w:rPr>
        <w:t>This is</w:t>
      </w:r>
      <w:r w:rsidR="00814982">
        <w:rPr>
          <w:rFonts w:ascii="Arial" w:hAnsi="Arial" w:cs="Arial"/>
          <w:sz w:val="20"/>
          <w:szCs w:val="20"/>
          <w:lang w:val="en-GB"/>
        </w:rPr>
        <w:t xml:space="preserve"> because legacy multiple TAs/TAGs management is </w:t>
      </w:r>
      <w:r w:rsidR="003644D5">
        <w:rPr>
          <w:rFonts w:ascii="Arial" w:hAnsi="Arial" w:cs="Arial"/>
          <w:sz w:val="20"/>
          <w:szCs w:val="20"/>
          <w:lang w:val="en-GB"/>
        </w:rPr>
        <w:t xml:space="preserve">only </w:t>
      </w:r>
      <w:r w:rsidR="00814982">
        <w:rPr>
          <w:rFonts w:ascii="Arial" w:hAnsi="Arial" w:cs="Arial"/>
          <w:sz w:val="20"/>
          <w:szCs w:val="20"/>
          <w:lang w:val="en-GB"/>
        </w:rPr>
        <w:t xml:space="preserve">applied for CA </w:t>
      </w:r>
      <w:r w:rsidR="003644D5">
        <w:rPr>
          <w:rFonts w:ascii="Arial" w:hAnsi="Arial" w:cs="Arial"/>
          <w:sz w:val="20"/>
          <w:szCs w:val="20"/>
          <w:lang w:val="en-GB"/>
        </w:rPr>
        <w:t xml:space="preserve">case </w:t>
      </w:r>
      <w:r w:rsidR="00814982">
        <w:rPr>
          <w:rFonts w:ascii="Arial" w:hAnsi="Arial" w:cs="Arial"/>
          <w:sz w:val="20"/>
          <w:szCs w:val="20"/>
          <w:lang w:val="en-GB"/>
        </w:rPr>
        <w:t>or DC case</w:t>
      </w:r>
      <w:r w:rsidR="003644D5">
        <w:rPr>
          <w:rFonts w:ascii="Arial" w:hAnsi="Arial" w:cs="Arial"/>
          <w:sz w:val="20"/>
          <w:szCs w:val="20"/>
          <w:lang w:val="en-GB"/>
        </w:rPr>
        <w:t>. Under this scenario, UE generally move with very slow speed and</w:t>
      </w:r>
      <w:r w:rsidR="00814982">
        <w:rPr>
          <w:rFonts w:ascii="Arial" w:hAnsi="Arial" w:cs="Arial"/>
          <w:sz w:val="20"/>
          <w:szCs w:val="20"/>
          <w:lang w:val="en-GB"/>
        </w:rPr>
        <w:t xml:space="preserve"> </w:t>
      </w:r>
      <w:r w:rsidR="003644D5">
        <w:rPr>
          <w:rFonts w:ascii="Arial" w:hAnsi="Arial" w:cs="Arial"/>
          <w:sz w:val="20"/>
          <w:szCs w:val="20"/>
          <w:lang w:val="en-GB"/>
        </w:rPr>
        <w:t>there is no urgen</w:t>
      </w:r>
      <w:r w:rsidR="00F7456E">
        <w:rPr>
          <w:rFonts w:ascii="Arial" w:hAnsi="Arial" w:cs="Arial"/>
          <w:sz w:val="20"/>
          <w:szCs w:val="20"/>
          <w:lang w:val="en-GB"/>
        </w:rPr>
        <w:t>cy</w:t>
      </w:r>
      <w:r w:rsidR="003644D5">
        <w:rPr>
          <w:rFonts w:ascii="Arial" w:hAnsi="Arial" w:cs="Arial"/>
          <w:sz w:val="20"/>
          <w:szCs w:val="20"/>
          <w:lang w:val="en-GB"/>
        </w:rPr>
        <w:t xml:space="preserve"> for Network to </w:t>
      </w:r>
      <w:r w:rsidR="007A1609" w:rsidRPr="00F7456E">
        <w:rPr>
          <w:rFonts w:ascii="Arial" w:hAnsi="Arial" w:cs="Arial"/>
          <w:sz w:val="20"/>
          <w:szCs w:val="20"/>
          <w:lang w:val="en-GB"/>
        </w:rPr>
        <w:t>simultaneously</w:t>
      </w:r>
      <w:r w:rsidR="007A1609">
        <w:rPr>
          <w:rFonts w:ascii="Arial" w:hAnsi="Arial" w:cs="Arial"/>
          <w:sz w:val="20"/>
          <w:szCs w:val="20"/>
          <w:lang w:val="en-GB"/>
        </w:rPr>
        <w:t xml:space="preserve"> </w:t>
      </w:r>
      <w:r w:rsidR="003644D5">
        <w:rPr>
          <w:rFonts w:ascii="Arial" w:hAnsi="Arial" w:cs="Arial"/>
          <w:sz w:val="20"/>
          <w:szCs w:val="20"/>
          <w:lang w:val="en-GB"/>
        </w:rPr>
        <w:t xml:space="preserve">acquire TA for different cells. However, for </w:t>
      </w:r>
      <w:r w:rsidR="00814982">
        <w:rPr>
          <w:rFonts w:ascii="Arial" w:hAnsi="Arial" w:cs="Arial"/>
          <w:sz w:val="20"/>
          <w:szCs w:val="20"/>
          <w:lang w:val="en-GB"/>
        </w:rPr>
        <w:t xml:space="preserve">mobility </w:t>
      </w:r>
      <w:r w:rsidR="003644D5">
        <w:rPr>
          <w:rFonts w:ascii="Arial" w:hAnsi="Arial" w:cs="Arial"/>
          <w:sz w:val="20"/>
          <w:szCs w:val="20"/>
          <w:lang w:val="en-GB"/>
        </w:rPr>
        <w:t>scenario,</w:t>
      </w:r>
      <w:r w:rsidR="008F71D5">
        <w:rPr>
          <w:rFonts w:ascii="Arial" w:hAnsi="Arial" w:cs="Arial"/>
          <w:sz w:val="20"/>
          <w:szCs w:val="20"/>
          <w:lang w:val="en-GB"/>
        </w:rPr>
        <w:t xml:space="preserve"> it </w:t>
      </w:r>
      <w:r w:rsidR="00D4064F">
        <w:rPr>
          <w:rFonts w:ascii="Arial" w:hAnsi="Arial" w:cs="Arial"/>
          <w:sz w:val="20"/>
          <w:szCs w:val="20"/>
          <w:lang w:val="en-GB"/>
        </w:rPr>
        <w:t>is</w:t>
      </w:r>
      <w:r w:rsidR="008F71D5">
        <w:rPr>
          <w:rFonts w:ascii="Arial" w:hAnsi="Arial" w:cs="Arial"/>
          <w:sz w:val="20"/>
          <w:szCs w:val="20"/>
          <w:lang w:val="en-GB"/>
        </w:rPr>
        <w:t xml:space="preserve"> important </w:t>
      </w:r>
      <w:r w:rsidR="00D4064F">
        <w:rPr>
          <w:rFonts w:ascii="Arial" w:hAnsi="Arial" w:cs="Arial"/>
          <w:sz w:val="20"/>
          <w:szCs w:val="20"/>
          <w:lang w:val="en-GB"/>
        </w:rPr>
        <w:t xml:space="preserve">for Network </w:t>
      </w:r>
      <w:r w:rsidR="008F71D5">
        <w:rPr>
          <w:rFonts w:ascii="Arial" w:hAnsi="Arial" w:cs="Arial"/>
          <w:sz w:val="20"/>
          <w:szCs w:val="20"/>
          <w:lang w:val="en-GB"/>
        </w:rPr>
        <w:t xml:space="preserve">to acquiring multiple TAs/TAGs as soon as possible; otherwise, the overall mobility latency </w:t>
      </w:r>
      <w:r w:rsidR="00D4064F">
        <w:rPr>
          <w:rFonts w:ascii="Arial" w:hAnsi="Arial" w:cs="Arial"/>
          <w:sz w:val="20"/>
          <w:szCs w:val="20"/>
          <w:lang w:val="en-GB"/>
        </w:rPr>
        <w:t xml:space="preserve">before </w:t>
      </w:r>
      <w:r w:rsidR="007A1609">
        <w:rPr>
          <w:rFonts w:ascii="Arial" w:hAnsi="Arial" w:cs="Arial"/>
          <w:sz w:val="20"/>
          <w:szCs w:val="20"/>
          <w:lang w:val="en-GB"/>
        </w:rPr>
        <w:t xml:space="preserve">the </w:t>
      </w:r>
      <w:r w:rsidR="00D4064F">
        <w:rPr>
          <w:rFonts w:ascii="Arial" w:hAnsi="Arial" w:cs="Arial"/>
          <w:sz w:val="20"/>
          <w:szCs w:val="20"/>
          <w:lang w:val="en-GB"/>
        </w:rPr>
        <w:t xml:space="preserve">cell switch </w:t>
      </w:r>
      <w:r w:rsidR="007A1609">
        <w:rPr>
          <w:rFonts w:ascii="Arial" w:hAnsi="Arial" w:cs="Arial"/>
          <w:sz w:val="20"/>
          <w:szCs w:val="20"/>
          <w:lang w:val="en-GB"/>
        </w:rPr>
        <w:t xml:space="preserve">is </w:t>
      </w:r>
      <w:r w:rsidR="00D4064F">
        <w:rPr>
          <w:rFonts w:ascii="Arial" w:hAnsi="Arial" w:cs="Arial"/>
          <w:sz w:val="20"/>
          <w:szCs w:val="20"/>
          <w:lang w:val="en-GB"/>
        </w:rPr>
        <w:t>complete</w:t>
      </w:r>
      <w:r w:rsidR="007A1609">
        <w:rPr>
          <w:rFonts w:ascii="Arial" w:hAnsi="Arial" w:cs="Arial"/>
          <w:sz w:val="20"/>
          <w:szCs w:val="20"/>
          <w:lang w:val="en-GB"/>
        </w:rPr>
        <w:t>d</w:t>
      </w:r>
      <w:r w:rsidR="00D4064F">
        <w:rPr>
          <w:rFonts w:ascii="Arial" w:hAnsi="Arial" w:cs="Arial"/>
          <w:sz w:val="20"/>
          <w:szCs w:val="20"/>
          <w:lang w:val="en-GB"/>
        </w:rPr>
        <w:t xml:space="preserve"> </w:t>
      </w:r>
      <w:r w:rsidR="008F71D5">
        <w:rPr>
          <w:rFonts w:ascii="Arial" w:hAnsi="Arial" w:cs="Arial"/>
          <w:sz w:val="20"/>
          <w:szCs w:val="20"/>
          <w:lang w:val="en-GB"/>
        </w:rPr>
        <w:t>will be increase</w:t>
      </w:r>
      <w:r w:rsidR="00D4064F">
        <w:rPr>
          <w:rFonts w:ascii="Arial" w:hAnsi="Arial" w:cs="Arial"/>
          <w:sz w:val="20"/>
          <w:szCs w:val="20"/>
          <w:lang w:val="en-GB"/>
        </w:rPr>
        <w:t>d</w:t>
      </w:r>
      <w:r w:rsidR="008F71D5">
        <w:rPr>
          <w:rFonts w:ascii="Arial" w:hAnsi="Arial" w:cs="Arial"/>
          <w:sz w:val="20"/>
          <w:szCs w:val="20"/>
          <w:lang w:val="en-GB"/>
        </w:rPr>
        <w:t xml:space="preserve"> a lot and even worse than the legacy handover procedure</w:t>
      </w:r>
      <w:r w:rsidR="00D4064F">
        <w:rPr>
          <w:rFonts w:ascii="Arial" w:hAnsi="Arial" w:cs="Arial"/>
          <w:sz w:val="20"/>
          <w:szCs w:val="20"/>
          <w:lang w:val="en-GB"/>
        </w:rPr>
        <w:t xml:space="preserve"> where only 1 TA/TAG toward target cell need to be maintained. </w:t>
      </w:r>
      <w:proofErr w:type="gramStart"/>
      <w:r w:rsidR="00F7456E">
        <w:rPr>
          <w:rFonts w:ascii="Arial" w:hAnsi="Arial" w:cs="Arial"/>
          <w:sz w:val="20"/>
          <w:szCs w:val="20"/>
          <w:lang w:val="en-GB"/>
        </w:rPr>
        <w:t>So</w:t>
      </w:r>
      <w:proofErr w:type="gramEnd"/>
      <w:r w:rsidR="00F7456E">
        <w:rPr>
          <w:rFonts w:ascii="Arial" w:hAnsi="Arial" w:cs="Arial"/>
          <w:sz w:val="20"/>
          <w:szCs w:val="20"/>
          <w:lang w:val="en-GB"/>
        </w:rPr>
        <w:t xml:space="preserve"> we suggest to support </w:t>
      </w:r>
      <w:r w:rsidR="00F7456E" w:rsidRPr="00F7456E">
        <w:rPr>
          <w:rFonts w:ascii="Arial" w:hAnsi="Arial" w:cs="Arial"/>
          <w:sz w:val="20"/>
          <w:szCs w:val="20"/>
          <w:lang w:val="en-GB"/>
        </w:rPr>
        <w:t>PRACH transmissions to multiple candidate cells simultaneously</w:t>
      </w:r>
      <w:r w:rsidR="00F7456E">
        <w:rPr>
          <w:rFonts w:ascii="Arial" w:hAnsi="Arial" w:cs="Arial"/>
          <w:sz w:val="20"/>
          <w:szCs w:val="20"/>
          <w:lang w:val="en-GB"/>
        </w:rPr>
        <w:t xml:space="preserve">, and all those </w:t>
      </w:r>
      <w:r w:rsidR="00F7456E" w:rsidRPr="00F7456E">
        <w:rPr>
          <w:rFonts w:ascii="Arial" w:hAnsi="Arial" w:cs="Arial"/>
          <w:sz w:val="20"/>
          <w:szCs w:val="20"/>
          <w:lang w:val="en-GB"/>
        </w:rPr>
        <w:t xml:space="preserve">PRACH transmissions </w:t>
      </w:r>
      <w:r w:rsidR="00D4064F">
        <w:rPr>
          <w:rFonts w:ascii="Arial" w:hAnsi="Arial" w:cs="Arial"/>
          <w:sz w:val="20"/>
          <w:szCs w:val="20"/>
          <w:lang w:val="en-GB"/>
        </w:rPr>
        <w:t xml:space="preserve">can be </w:t>
      </w:r>
      <w:r w:rsidR="00F7456E" w:rsidRPr="00F7456E">
        <w:rPr>
          <w:rFonts w:ascii="Arial" w:hAnsi="Arial" w:cs="Arial"/>
          <w:sz w:val="20"/>
          <w:szCs w:val="20"/>
          <w:lang w:val="en-GB"/>
        </w:rPr>
        <w:t xml:space="preserve">triggered by </w:t>
      </w:r>
      <w:r w:rsidR="00D4064F">
        <w:rPr>
          <w:rFonts w:ascii="Arial" w:hAnsi="Arial" w:cs="Arial"/>
          <w:sz w:val="20"/>
          <w:szCs w:val="20"/>
          <w:lang w:val="en-GB"/>
        </w:rPr>
        <w:t>the same</w:t>
      </w:r>
      <w:r w:rsidR="00F7456E" w:rsidRPr="00F7456E">
        <w:rPr>
          <w:rFonts w:ascii="Arial" w:hAnsi="Arial" w:cs="Arial"/>
          <w:sz w:val="20"/>
          <w:szCs w:val="20"/>
          <w:lang w:val="en-GB"/>
        </w:rPr>
        <w:t xml:space="preserve"> TCI activation command</w:t>
      </w:r>
      <w:r w:rsidR="00F7456E">
        <w:rPr>
          <w:rFonts w:ascii="Arial" w:hAnsi="Arial" w:cs="Arial"/>
          <w:sz w:val="20"/>
          <w:szCs w:val="20"/>
          <w:lang w:val="en-GB"/>
        </w:rPr>
        <w:t>. To avoid</w:t>
      </w:r>
      <w:r w:rsidR="00D4064F">
        <w:rPr>
          <w:rFonts w:ascii="Arial" w:hAnsi="Arial" w:cs="Arial"/>
          <w:sz w:val="20"/>
          <w:szCs w:val="20"/>
          <w:lang w:val="en-GB"/>
        </w:rPr>
        <w:t xml:space="preserve"> the</w:t>
      </w:r>
      <w:r w:rsidR="00F7456E">
        <w:rPr>
          <w:rFonts w:ascii="Arial" w:hAnsi="Arial" w:cs="Arial"/>
          <w:sz w:val="20"/>
          <w:szCs w:val="20"/>
          <w:lang w:val="en-GB"/>
        </w:rPr>
        <w:t xml:space="preserve"> collision of UL transmission resource</w:t>
      </w:r>
      <w:r w:rsidR="00D4064F">
        <w:rPr>
          <w:rFonts w:ascii="Arial" w:hAnsi="Arial" w:cs="Arial"/>
          <w:sz w:val="20"/>
          <w:szCs w:val="20"/>
          <w:lang w:val="en-GB"/>
        </w:rPr>
        <w:t>s</w:t>
      </w:r>
      <w:r w:rsidR="00F7456E">
        <w:rPr>
          <w:rFonts w:ascii="Arial" w:hAnsi="Arial" w:cs="Arial"/>
          <w:sz w:val="20"/>
          <w:szCs w:val="20"/>
          <w:lang w:val="en-GB"/>
        </w:rPr>
        <w:t xml:space="preserve">, Network can </w:t>
      </w:r>
      <w:r w:rsidR="00D4064F">
        <w:rPr>
          <w:rFonts w:ascii="Arial" w:hAnsi="Arial" w:cs="Arial"/>
          <w:sz w:val="20"/>
          <w:szCs w:val="20"/>
          <w:lang w:val="en-GB"/>
        </w:rPr>
        <w:t xml:space="preserve">further </w:t>
      </w:r>
      <w:r w:rsidR="00F7456E">
        <w:rPr>
          <w:rFonts w:ascii="Arial" w:hAnsi="Arial" w:cs="Arial"/>
          <w:sz w:val="20"/>
          <w:szCs w:val="20"/>
          <w:lang w:val="en-GB"/>
        </w:rPr>
        <w:t xml:space="preserve">allocate </w:t>
      </w:r>
      <w:r w:rsidR="00F7456E" w:rsidRPr="00F7456E">
        <w:rPr>
          <w:rFonts w:ascii="Arial" w:hAnsi="Arial" w:cs="Arial"/>
          <w:sz w:val="20"/>
          <w:szCs w:val="20"/>
          <w:lang w:val="en-GB"/>
        </w:rPr>
        <w:t xml:space="preserve">dedicated RACH resource </w:t>
      </w:r>
      <w:r w:rsidR="00F7456E">
        <w:rPr>
          <w:rFonts w:ascii="Arial" w:hAnsi="Arial" w:cs="Arial"/>
          <w:sz w:val="20"/>
          <w:szCs w:val="20"/>
          <w:lang w:val="en-GB"/>
        </w:rPr>
        <w:t>for each</w:t>
      </w:r>
      <w:r w:rsidR="00F7456E" w:rsidRPr="00F7456E">
        <w:rPr>
          <w:rFonts w:ascii="Arial" w:hAnsi="Arial" w:cs="Arial"/>
          <w:sz w:val="20"/>
          <w:szCs w:val="20"/>
          <w:lang w:val="en-GB"/>
        </w:rPr>
        <w:t xml:space="preserve"> candidate cell</w:t>
      </w:r>
    </w:p>
    <w:p w14:paraId="0E029B1C" w14:textId="65DA500F" w:rsidR="00DB7FBB" w:rsidRDefault="00091575" w:rsidP="00156CB0">
      <w:pPr>
        <w:pStyle w:val="af3"/>
        <w:rPr>
          <w:rFonts w:ascii="Arial" w:hAnsi="Arial" w:cs="Arial"/>
          <w:i/>
          <w:sz w:val="22"/>
          <w:szCs w:val="22"/>
        </w:rPr>
      </w:pPr>
      <w:bookmarkStart w:id="10" w:name="_Hlk118726016"/>
      <w:bookmarkStart w:id="11" w:name="_Ref118481173"/>
      <w:r w:rsidRPr="00156CB0">
        <w:rPr>
          <w:rFonts w:ascii="Arial" w:hAnsi="Arial" w:cs="Arial"/>
          <w:i/>
          <w:sz w:val="22"/>
          <w:szCs w:val="22"/>
        </w:rPr>
        <w:t xml:space="preserve">Proposal </w:t>
      </w:r>
      <w:r w:rsidRPr="00156CB0">
        <w:rPr>
          <w:rFonts w:ascii="Arial" w:hAnsi="Arial" w:cs="Arial"/>
          <w:i/>
          <w:sz w:val="22"/>
          <w:szCs w:val="22"/>
        </w:rPr>
        <w:fldChar w:fldCharType="begin"/>
      </w:r>
      <w:r w:rsidRPr="00156CB0">
        <w:rPr>
          <w:rFonts w:ascii="Arial" w:hAnsi="Arial" w:cs="Arial"/>
          <w:i/>
          <w:sz w:val="22"/>
          <w:szCs w:val="22"/>
        </w:rPr>
        <w:instrText xml:space="preserve"> SEQ Proposal \* ARABIC </w:instrText>
      </w:r>
      <w:r w:rsidRPr="00156CB0">
        <w:rPr>
          <w:rFonts w:ascii="Arial" w:hAnsi="Arial" w:cs="Arial"/>
          <w:i/>
          <w:sz w:val="22"/>
          <w:szCs w:val="22"/>
        </w:rPr>
        <w:fldChar w:fldCharType="separate"/>
      </w:r>
      <w:r w:rsidR="001C74BC">
        <w:rPr>
          <w:rFonts w:ascii="Arial" w:hAnsi="Arial" w:cs="Arial"/>
          <w:i/>
          <w:noProof/>
          <w:sz w:val="22"/>
          <w:szCs w:val="22"/>
        </w:rPr>
        <w:t>2</w:t>
      </w:r>
      <w:r w:rsidRPr="00156CB0">
        <w:rPr>
          <w:rFonts w:ascii="Arial" w:hAnsi="Arial" w:cs="Arial"/>
          <w:i/>
          <w:sz w:val="22"/>
          <w:szCs w:val="22"/>
        </w:rPr>
        <w:fldChar w:fldCharType="end"/>
      </w:r>
      <w:r w:rsidRPr="00156CB0">
        <w:rPr>
          <w:rFonts w:ascii="Arial" w:hAnsi="Arial" w:cs="Arial"/>
          <w:i/>
          <w:sz w:val="22"/>
          <w:szCs w:val="22"/>
        </w:rPr>
        <w:t>:</w:t>
      </w:r>
      <w:bookmarkStart w:id="12" w:name="_Hlk118723268"/>
      <w:r w:rsidRPr="00156CB0">
        <w:rPr>
          <w:rFonts w:ascii="Arial" w:hAnsi="Arial" w:cs="Arial"/>
          <w:i/>
          <w:sz w:val="22"/>
          <w:szCs w:val="22"/>
        </w:rPr>
        <w:t xml:space="preserve"> </w:t>
      </w:r>
      <w:r w:rsidR="00D40A76">
        <w:rPr>
          <w:rFonts w:ascii="Arial" w:hAnsi="Arial" w:cs="Arial"/>
          <w:i/>
          <w:sz w:val="22"/>
          <w:szCs w:val="22"/>
        </w:rPr>
        <w:t>Support</w:t>
      </w:r>
      <w:r w:rsidR="00DB7FBB">
        <w:rPr>
          <w:rFonts w:ascii="Arial" w:hAnsi="Arial" w:cs="Arial"/>
          <w:i/>
          <w:sz w:val="22"/>
          <w:szCs w:val="22"/>
        </w:rPr>
        <w:t xml:space="preserve"> PRACH transmissions to multiple candidate cells simultaneously </w:t>
      </w:r>
    </w:p>
    <w:p w14:paraId="7C59155B" w14:textId="0D8EE9CC" w:rsidR="00DB7FBB" w:rsidRDefault="00DB7FBB" w:rsidP="00DB7FBB">
      <w:pPr>
        <w:pStyle w:val="af3"/>
        <w:rPr>
          <w:rFonts w:ascii="Arial" w:hAnsi="Arial" w:cs="Arial"/>
          <w:i/>
          <w:sz w:val="22"/>
          <w:szCs w:val="22"/>
        </w:rPr>
      </w:pPr>
      <w:r w:rsidRPr="00B35D70">
        <w:rPr>
          <w:rFonts w:ascii="Arial" w:hAnsi="Arial" w:cs="Arial"/>
          <w:i/>
          <w:sz w:val="22"/>
          <w:szCs w:val="22"/>
        </w:rPr>
        <w:t xml:space="preserve">Proposal </w:t>
      </w:r>
      <w:r w:rsidRPr="00B35D70">
        <w:rPr>
          <w:rFonts w:ascii="Arial" w:hAnsi="Arial" w:cs="Arial"/>
          <w:i/>
          <w:sz w:val="22"/>
          <w:szCs w:val="22"/>
        </w:rPr>
        <w:fldChar w:fldCharType="begin"/>
      </w:r>
      <w:r w:rsidRPr="00B35D70">
        <w:rPr>
          <w:rFonts w:ascii="Arial" w:hAnsi="Arial" w:cs="Arial"/>
          <w:i/>
          <w:sz w:val="22"/>
          <w:szCs w:val="22"/>
        </w:rPr>
        <w:instrText xml:space="preserve"> SEQ Proposal \* ARABIC </w:instrText>
      </w:r>
      <w:r w:rsidRPr="00B35D70">
        <w:rPr>
          <w:rFonts w:ascii="Arial" w:hAnsi="Arial" w:cs="Arial"/>
          <w:i/>
          <w:sz w:val="22"/>
          <w:szCs w:val="22"/>
        </w:rPr>
        <w:fldChar w:fldCharType="separate"/>
      </w:r>
      <w:r w:rsidR="001C74BC">
        <w:rPr>
          <w:rFonts w:ascii="Arial" w:hAnsi="Arial" w:cs="Arial"/>
          <w:i/>
          <w:noProof/>
          <w:sz w:val="22"/>
          <w:szCs w:val="22"/>
        </w:rPr>
        <w:t>3</w:t>
      </w:r>
      <w:r w:rsidRPr="00B35D70">
        <w:rPr>
          <w:rFonts w:ascii="Arial" w:hAnsi="Arial" w:cs="Arial"/>
          <w:i/>
          <w:sz w:val="22"/>
          <w:szCs w:val="22"/>
        </w:rPr>
        <w:fldChar w:fldCharType="end"/>
      </w:r>
      <w:r w:rsidRPr="00B35D70">
        <w:rPr>
          <w:rFonts w:ascii="Arial" w:hAnsi="Arial" w:cs="Arial"/>
          <w:i/>
          <w:sz w:val="22"/>
          <w:szCs w:val="22"/>
        </w:rPr>
        <w:t xml:space="preserve">: </w:t>
      </w:r>
      <w:r w:rsidR="00D40A76">
        <w:rPr>
          <w:rFonts w:ascii="Arial" w:hAnsi="Arial" w:cs="Arial"/>
          <w:i/>
          <w:sz w:val="22"/>
          <w:szCs w:val="22"/>
        </w:rPr>
        <w:t>Support</w:t>
      </w:r>
      <w:r>
        <w:rPr>
          <w:rFonts w:ascii="Arial" w:hAnsi="Arial" w:cs="Arial"/>
          <w:i/>
          <w:sz w:val="22"/>
          <w:szCs w:val="22"/>
        </w:rPr>
        <w:t xml:space="preserve"> PRACH transmissions </w:t>
      </w:r>
      <w:r w:rsidR="00D40A76">
        <w:rPr>
          <w:rFonts w:ascii="Arial" w:hAnsi="Arial" w:cs="Arial"/>
          <w:i/>
          <w:sz w:val="22"/>
          <w:szCs w:val="22"/>
        </w:rPr>
        <w:t xml:space="preserve">triggered </w:t>
      </w:r>
      <w:r>
        <w:rPr>
          <w:rFonts w:ascii="Arial" w:hAnsi="Arial" w:cs="Arial"/>
          <w:i/>
          <w:sz w:val="22"/>
          <w:szCs w:val="22"/>
        </w:rPr>
        <w:t>by a TCI activation command</w:t>
      </w:r>
    </w:p>
    <w:p w14:paraId="765F7745" w14:textId="1D8F5158" w:rsidR="00814982" w:rsidRDefault="00814982" w:rsidP="00814982">
      <w:pPr>
        <w:pStyle w:val="af3"/>
        <w:rPr>
          <w:rFonts w:ascii="Arial" w:hAnsi="Arial" w:cs="Arial"/>
          <w:i/>
          <w:sz w:val="22"/>
          <w:szCs w:val="22"/>
        </w:rPr>
      </w:pPr>
      <w:bookmarkStart w:id="13" w:name="_Hlk118734957"/>
      <w:bookmarkEnd w:id="10"/>
      <w:r w:rsidRPr="00E96D8B">
        <w:rPr>
          <w:rFonts w:ascii="Arial" w:hAnsi="Arial" w:cs="Arial"/>
          <w:i/>
          <w:sz w:val="22"/>
          <w:szCs w:val="22"/>
        </w:rPr>
        <w:t xml:space="preserve">Proposal </w:t>
      </w:r>
      <w:r w:rsidRPr="00E96D8B">
        <w:rPr>
          <w:rFonts w:ascii="Arial" w:hAnsi="Arial" w:cs="Arial"/>
          <w:i/>
          <w:sz w:val="22"/>
          <w:szCs w:val="22"/>
        </w:rPr>
        <w:fldChar w:fldCharType="begin"/>
      </w:r>
      <w:r w:rsidRPr="00E96D8B">
        <w:rPr>
          <w:rFonts w:ascii="Arial" w:hAnsi="Arial" w:cs="Arial"/>
          <w:i/>
          <w:sz w:val="22"/>
          <w:szCs w:val="22"/>
        </w:rPr>
        <w:instrText xml:space="preserve"> SEQ Proposal \* ARABIC </w:instrText>
      </w:r>
      <w:r w:rsidRPr="00E96D8B">
        <w:rPr>
          <w:rFonts w:ascii="Arial" w:hAnsi="Arial" w:cs="Arial"/>
          <w:i/>
          <w:sz w:val="22"/>
          <w:szCs w:val="22"/>
        </w:rPr>
        <w:fldChar w:fldCharType="separate"/>
      </w:r>
      <w:r w:rsidR="001C74BC">
        <w:rPr>
          <w:rFonts w:ascii="Arial" w:hAnsi="Arial" w:cs="Arial"/>
          <w:i/>
          <w:noProof/>
          <w:sz w:val="22"/>
          <w:szCs w:val="22"/>
        </w:rPr>
        <w:t>4</w:t>
      </w:r>
      <w:r w:rsidRPr="00E96D8B">
        <w:rPr>
          <w:rFonts w:ascii="Arial" w:hAnsi="Arial" w:cs="Arial"/>
          <w:i/>
          <w:sz w:val="22"/>
          <w:szCs w:val="22"/>
        </w:rPr>
        <w:fldChar w:fldCharType="end"/>
      </w:r>
      <w:r w:rsidRPr="00E96D8B">
        <w:rPr>
          <w:rFonts w:ascii="Arial" w:hAnsi="Arial" w:cs="Arial"/>
          <w:i/>
          <w:sz w:val="22"/>
          <w:szCs w:val="22"/>
        </w:rPr>
        <w:t xml:space="preserve">: </w:t>
      </w:r>
      <w:r>
        <w:rPr>
          <w:rFonts w:ascii="Arial" w:hAnsi="Arial" w:cs="Arial"/>
          <w:i/>
          <w:sz w:val="22"/>
          <w:szCs w:val="22"/>
        </w:rPr>
        <w:t>Support dedicated RACH resource per candidate cell</w:t>
      </w:r>
    </w:p>
    <w:bookmarkEnd w:id="13"/>
    <w:bookmarkEnd w:id="12"/>
    <w:bookmarkEnd w:id="11"/>
    <w:p w14:paraId="24D50E80" w14:textId="77777777" w:rsidR="00BF68D8" w:rsidRPr="000C64C3" w:rsidRDefault="00BF68D8" w:rsidP="00BF68D8"/>
    <w:p w14:paraId="1C9A06E4" w14:textId="36528CF1" w:rsidR="00BF68D8" w:rsidRDefault="005C1872" w:rsidP="00BF68D8">
      <w:pPr>
        <w:spacing w:before="120" w:after="120"/>
        <w:jc w:val="center"/>
        <w:rPr>
          <w:rFonts w:ascii="Arial" w:hAnsi="Arial" w:cs="Arial"/>
          <w:kern w:val="0"/>
          <w:sz w:val="20"/>
          <w:szCs w:val="20"/>
          <w:lang w:val="en-GB"/>
        </w:rPr>
      </w:pPr>
      <w:r>
        <w:rPr>
          <w:rFonts w:ascii="Arial" w:hAnsi="Arial" w:cs="Arial"/>
          <w:noProof/>
          <w:kern w:val="0"/>
          <w:sz w:val="20"/>
          <w:szCs w:val="20"/>
          <w:lang w:val="en-GB"/>
        </w:rPr>
        <w:drawing>
          <wp:inline distT="0" distB="0" distL="0" distR="0" wp14:anchorId="2835FE49" wp14:editId="2D8CA0B5">
            <wp:extent cx="4615892" cy="1286278"/>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45460" cy="1294518"/>
                    </a:xfrm>
                    <a:prstGeom prst="rect">
                      <a:avLst/>
                    </a:prstGeom>
                    <a:noFill/>
                  </pic:spPr>
                </pic:pic>
              </a:graphicData>
            </a:graphic>
          </wp:inline>
        </w:drawing>
      </w:r>
    </w:p>
    <w:p w14:paraId="5C0709C1" w14:textId="58BB1C09" w:rsidR="00BF68D8" w:rsidRDefault="00BF68D8" w:rsidP="00BF68D8">
      <w:pPr>
        <w:spacing w:before="120" w:after="120"/>
        <w:jc w:val="center"/>
        <w:rPr>
          <w:rFonts w:ascii="Arial" w:hAnsi="Arial" w:cs="Arial"/>
          <w:sz w:val="20"/>
          <w:szCs w:val="20"/>
          <w:lang w:val="en-GB"/>
        </w:rPr>
      </w:pPr>
      <w:r>
        <w:rPr>
          <w:rFonts w:ascii="Arial" w:hAnsi="Arial" w:cs="Arial"/>
          <w:sz w:val="20"/>
          <w:szCs w:val="20"/>
          <w:lang w:val="en-GB"/>
        </w:rPr>
        <w:t xml:space="preserve">(a) Rel-17 ICBM: </w:t>
      </w:r>
      <w:r w:rsidR="00091575">
        <w:rPr>
          <w:rFonts w:ascii="Arial" w:hAnsi="Arial" w:cs="Arial"/>
          <w:sz w:val="20"/>
          <w:szCs w:val="20"/>
          <w:lang w:val="en-GB"/>
        </w:rPr>
        <w:t xml:space="preserve">simultaneously monitor </w:t>
      </w:r>
      <w:r w:rsidR="00091575" w:rsidRPr="00091575">
        <w:rPr>
          <w:rFonts w:ascii="Arial" w:hAnsi="Arial" w:cs="Arial"/>
          <w:b/>
          <w:bCs/>
          <w:sz w:val="20"/>
          <w:szCs w:val="20"/>
        </w:rPr>
        <w:t>synchronous activated TCI states</w:t>
      </w:r>
    </w:p>
    <w:p w14:paraId="150E2268" w14:textId="1C04DD09" w:rsidR="00BF68D8" w:rsidRDefault="005C1872" w:rsidP="00BF68D8">
      <w:pPr>
        <w:spacing w:before="120" w:after="120"/>
        <w:jc w:val="center"/>
        <w:rPr>
          <w:rFonts w:ascii="Arial" w:hAnsi="Arial" w:cs="Arial"/>
          <w:sz w:val="20"/>
          <w:szCs w:val="20"/>
          <w:lang w:val="en-GB"/>
        </w:rPr>
      </w:pPr>
      <w:r>
        <w:rPr>
          <w:rFonts w:ascii="Arial" w:hAnsi="Arial" w:cs="Arial"/>
          <w:noProof/>
          <w:sz w:val="20"/>
          <w:szCs w:val="20"/>
          <w:lang w:val="en-GB"/>
        </w:rPr>
        <w:drawing>
          <wp:inline distT="0" distB="0" distL="0" distR="0" wp14:anchorId="555A463B" wp14:editId="62377716">
            <wp:extent cx="4652468" cy="130189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2490" cy="1304699"/>
                    </a:xfrm>
                    <a:prstGeom prst="rect">
                      <a:avLst/>
                    </a:prstGeom>
                    <a:noFill/>
                  </pic:spPr>
                </pic:pic>
              </a:graphicData>
            </a:graphic>
          </wp:inline>
        </w:drawing>
      </w:r>
    </w:p>
    <w:p w14:paraId="5A4ABBD5" w14:textId="3E5A9B98" w:rsidR="00BF68D8" w:rsidRDefault="00BF68D8" w:rsidP="00BF68D8">
      <w:pPr>
        <w:spacing w:before="120" w:after="120"/>
        <w:jc w:val="center"/>
        <w:rPr>
          <w:rFonts w:ascii="Arial" w:hAnsi="Arial" w:cs="Arial"/>
          <w:sz w:val="20"/>
          <w:szCs w:val="20"/>
          <w:lang w:val="en-GB"/>
        </w:rPr>
      </w:pPr>
      <w:r>
        <w:rPr>
          <w:rFonts w:ascii="Arial" w:hAnsi="Arial" w:cs="Arial"/>
          <w:sz w:val="20"/>
          <w:szCs w:val="20"/>
          <w:lang w:val="en-GB"/>
        </w:rPr>
        <w:t xml:space="preserve">(b) Rel-18 L1/L2 mobility: </w:t>
      </w:r>
      <w:r w:rsidR="00091575">
        <w:rPr>
          <w:rFonts w:ascii="Arial" w:hAnsi="Arial" w:cs="Arial"/>
          <w:sz w:val="20"/>
          <w:szCs w:val="20"/>
          <w:lang w:val="en-GB"/>
        </w:rPr>
        <w:t xml:space="preserve">simultaneously monitor </w:t>
      </w:r>
      <w:r w:rsidR="00091575" w:rsidRPr="00156CB0">
        <w:rPr>
          <w:rFonts w:ascii="Arial" w:hAnsi="Arial" w:cs="Arial"/>
          <w:b/>
          <w:bCs/>
          <w:sz w:val="20"/>
          <w:szCs w:val="20"/>
          <w:lang w:val="en-GB"/>
        </w:rPr>
        <w:t>a</w:t>
      </w:r>
      <w:r w:rsidR="00091575" w:rsidRPr="00091575">
        <w:rPr>
          <w:rFonts w:ascii="Arial" w:hAnsi="Arial" w:cs="Arial"/>
          <w:b/>
          <w:bCs/>
          <w:sz w:val="20"/>
          <w:szCs w:val="20"/>
        </w:rPr>
        <w:t>synchronous activated TCI states</w:t>
      </w:r>
    </w:p>
    <w:p w14:paraId="0014C23C" w14:textId="49525F80" w:rsidR="00BF68D8" w:rsidRPr="00D27E9F" w:rsidRDefault="00BF68D8" w:rsidP="00BF68D8">
      <w:pPr>
        <w:pStyle w:val="af3"/>
        <w:jc w:val="center"/>
        <w:rPr>
          <w:rFonts w:ascii="Arial" w:hAnsi="Arial" w:cs="Arial"/>
          <w:bCs/>
          <w:lang w:val="en-GB"/>
        </w:rPr>
      </w:pPr>
      <w:bookmarkStart w:id="14" w:name="_Ref115362039"/>
      <w:r w:rsidRPr="00D27E9F">
        <w:rPr>
          <w:rFonts w:ascii="Arial" w:hAnsi="Arial" w:cs="Arial"/>
          <w:bCs/>
          <w:lang w:val="en-GB"/>
        </w:rPr>
        <w:t xml:space="preserve">Figure </w:t>
      </w:r>
      <w:r w:rsidRPr="00D27E9F">
        <w:rPr>
          <w:rFonts w:ascii="Arial" w:hAnsi="Arial" w:cs="Arial"/>
          <w:bCs/>
          <w:lang w:val="en-GB"/>
        </w:rPr>
        <w:fldChar w:fldCharType="begin"/>
      </w:r>
      <w:r w:rsidRPr="00D27E9F">
        <w:rPr>
          <w:rFonts w:ascii="Arial" w:hAnsi="Arial" w:cs="Arial"/>
          <w:bCs/>
          <w:lang w:val="en-GB"/>
        </w:rPr>
        <w:instrText xml:space="preserve"> SEQ Figure \* ARABIC </w:instrText>
      </w:r>
      <w:r w:rsidRPr="00D27E9F">
        <w:rPr>
          <w:rFonts w:ascii="Arial" w:hAnsi="Arial" w:cs="Arial"/>
          <w:bCs/>
          <w:lang w:val="en-GB"/>
        </w:rPr>
        <w:fldChar w:fldCharType="separate"/>
      </w:r>
      <w:r w:rsidR="001C74BC">
        <w:rPr>
          <w:rFonts w:ascii="Arial" w:hAnsi="Arial" w:cs="Arial"/>
          <w:bCs/>
          <w:noProof/>
          <w:lang w:val="en-GB"/>
        </w:rPr>
        <w:t>2</w:t>
      </w:r>
      <w:r w:rsidRPr="00D27E9F">
        <w:rPr>
          <w:rFonts w:ascii="Arial" w:hAnsi="Arial" w:cs="Arial"/>
          <w:bCs/>
          <w:lang w:val="en-GB"/>
        </w:rPr>
        <w:fldChar w:fldCharType="end"/>
      </w:r>
      <w:bookmarkEnd w:id="14"/>
      <w:r w:rsidRPr="00D27E9F">
        <w:rPr>
          <w:rFonts w:ascii="Arial" w:hAnsi="Arial" w:cs="Arial"/>
          <w:bCs/>
          <w:lang w:val="en-GB"/>
        </w:rPr>
        <w:t>: Co-existence of Rel-17 ICBM and Rel-18 L1/L2 mobility</w:t>
      </w:r>
    </w:p>
    <w:p w14:paraId="01AFE9C7" w14:textId="77777777" w:rsidR="004E2B20" w:rsidRDefault="004E2B20" w:rsidP="00156CB0">
      <w:pPr>
        <w:rPr>
          <w:rFonts w:ascii="Arial" w:hAnsi="Arial" w:cs="Arial"/>
          <w:sz w:val="20"/>
          <w:szCs w:val="20"/>
        </w:rPr>
      </w:pPr>
    </w:p>
    <w:p w14:paraId="195FB674" w14:textId="4CF0B686" w:rsidR="004E2B20" w:rsidRDefault="004E2B20" w:rsidP="00156CB0">
      <w:pPr>
        <w:rPr>
          <w:rFonts w:ascii="Arial" w:hAnsi="Arial" w:cs="Arial"/>
          <w:sz w:val="20"/>
          <w:szCs w:val="20"/>
          <w:lang w:val="en-GB"/>
        </w:rPr>
      </w:pPr>
      <w:r>
        <w:rPr>
          <w:rFonts w:ascii="Arial" w:hAnsi="Arial" w:cs="Arial"/>
          <w:sz w:val="20"/>
          <w:szCs w:val="20"/>
        </w:rPr>
        <w:lastRenderedPageBreak/>
        <w:t xml:space="preserve">In last meeting, more than one companies raise the concern that </w:t>
      </w:r>
      <w:r w:rsidRPr="000C3212">
        <w:rPr>
          <w:rFonts w:ascii="Arial" w:hAnsi="Arial" w:cs="Arial"/>
          <w:sz w:val="20"/>
          <w:szCs w:val="20"/>
        </w:rPr>
        <w:t xml:space="preserve">requiring UE to receive RAR from </w:t>
      </w:r>
      <w:r w:rsidR="001C74BC">
        <w:rPr>
          <w:rFonts w:ascii="Arial" w:hAnsi="Arial" w:cs="Arial"/>
          <w:sz w:val="20"/>
          <w:szCs w:val="20"/>
        </w:rPr>
        <w:t xml:space="preserve">the </w:t>
      </w:r>
      <w:r w:rsidRPr="000C3212">
        <w:rPr>
          <w:rFonts w:ascii="Arial" w:hAnsi="Arial" w:cs="Arial"/>
          <w:sz w:val="20"/>
          <w:szCs w:val="20"/>
        </w:rPr>
        <w:t>neighboring cell</w:t>
      </w:r>
      <w:r>
        <w:rPr>
          <w:rFonts w:ascii="Arial" w:hAnsi="Arial" w:cs="Arial"/>
          <w:sz w:val="20"/>
          <w:szCs w:val="20"/>
        </w:rPr>
        <w:t xml:space="preserve"> will cause huge interruption, it is important for RAN1 to figure out the corresponding solutions. </w:t>
      </w:r>
      <w:r>
        <w:rPr>
          <w:rFonts w:ascii="Arial" w:hAnsi="Arial" w:cs="Arial"/>
          <w:sz w:val="20"/>
          <w:szCs w:val="20"/>
          <w:lang w:val="en-GB"/>
        </w:rPr>
        <w:t xml:space="preserve">Considering that TA-value is the most important message in RAR and TA-value toward neighbouring cell is unless for UE, we suggest </w:t>
      </w:r>
      <w:proofErr w:type="gramStart"/>
      <w:r>
        <w:rPr>
          <w:rFonts w:ascii="Arial" w:hAnsi="Arial" w:cs="Arial"/>
          <w:sz w:val="20"/>
          <w:szCs w:val="20"/>
          <w:lang w:val="en-GB"/>
        </w:rPr>
        <w:t xml:space="preserve">to </w:t>
      </w:r>
      <w:r w:rsidRPr="004E2B20">
        <w:rPr>
          <w:rFonts w:ascii="Arial" w:hAnsi="Arial" w:cs="Arial"/>
          <w:sz w:val="20"/>
          <w:szCs w:val="20"/>
          <w:lang w:val="en-GB"/>
        </w:rPr>
        <w:t>introduce</w:t>
      </w:r>
      <w:proofErr w:type="gramEnd"/>
      <w:r w:rsidRPr="004E2B20">
        <w:rPr>
          <w:rFonts w:ascii="Arial" w:hAnsi="Arial" w:cs="Arial"/>
          <w:sz w:val="20"/>
          <w:szCs w:val="20"/>
          <w:lang w:val="en-GB"/>
        </w:rPr>
        <w:t xml:space="preserve"> a signalling for Network to indicate UE whether to receive msg2 after the triggered PRACH transmissions. If indicated, UE expects no msg2 will be transmitted by Network and TA-value of target cell will be given in the cell switch command. If not indicated, </w:t>
      </w:r>
      <w:r w:rsidR="009A1790">
        <w:rPr>
          <w:rFonts w:ascii="Arial" w:hAnsi="Arial" w:cs="Arial"/>
          <w:sz w:val="20"/>
          <w:szCs w:val="20"/>
          <w:lang w:val="en-GB"/>
        </w:rPr>
        <w:t>UE will attempt to receive</w:t>
      </w:r>
      <w:r w:rsidRPr="004E2B20">
        <w:rPr>
          <w:rFonts w:ascii="Arial" w:hAnsi="Arial" w:cs="Arial"/>
          <w:sz w:val="20"/>
          <w:szCs w:val="20"/>
          <w:lang w:val="en-GB"/>
        </w:rPr>
        <w:t xml:space="preserve"> msg2 of neighbouring cell through the serving cell to avoid huge interruption</w:t>
      </w:r>
      <w:r w:rsidR="009A1790">
        <w:rPr>
          <w:rFonts w:ascii="Arial" w:hAnsi="Arial" w:cs="Arial"/>
          <w:sz w:val="20"/>
          <w:szCs w:val="20"/>
          <w:lang w:val="en-GB"/>
        </w:rPr>
        <w:t xml:space="preserve"> (however, only one RACH procedure can be performed at a time in this case)</w:t>
      </w:r>
      <w:r w:rsidRPr="004E2B20">
        <w:rPr>
          <w:rFonts w:ascii="Arial" w:hAnsi="Arial" w:cs="Arial"/>
          <w:sz w:val="20"/>
          <w:szCs w:val="20"/>
          <w:lang w:val="en-GB"/>
        </w:rPr>
        <w:t>.</w:t>
      </w:r>
    </w:p>
    <w:p w14:paraId="6BFBE892" w14:textId="1F115F5B" w:rsidR="001463DE" w:rsidRDefault="00B63E55" w:rsidP="00156CB0">
      <w:pPr>
        <w:pStyle w:val="af3"/>
        <w:rPr>
          <w:rFonts w:ascii="Arial" w:hAnsi="Arial" w:cs="Arial"/>
          <w:i/>
          <w:sz w:val="22"/>
          <w:szCs w:val="22"/>
        </w:rPr>
      </w:pPr>
      <w:bookmarkStart w:id="15" w:name="_Ref118481180"/>
      <w:bookmarkStart w:id="16" w:name="_Hlk118726052"/>
      <w:r w:rsidRPr="00156CB0">
        <w:rPr>
          <w:rFonts w:ascii="Arial" w:hAnsi="Arial" w:cs="Arial"/>
          <w:i/>
          <w:sz w:val="22"/>
          <w:szCs w:val="22"/>
        </w:rPr>
        <w:t xml:space="preserve">Proposal </w:t>
      </w:r>
      <w:r w:rsidRPr="00156CB0">
        <w:rPr>
          <w:rFonts w:ascii="Arial" w:hAnsi="Arial" w:cs="Arial"/>
          <w:i/>
          <w:sz w:val="22"/>
          <w:szCs w:val="22"/>
        </w:rPr>
        <w:fldChar w:fldCharType="begin"/>
      </w:r>
      <w:r w:rsidRPr="00156CB0">
        <w:rPr>
          <w:rFonts w:ascii="Arial" w:hAnsi="Arial" w:cs="Arial"/>
          <w:i/>
          <w:sz w:val="22"/>
          <w:szCs w:val="22"/>
        </w:rPr>
        <w:instrText xml:space="preserve"> SEQ Proposal \* ARABIC </w:instrText>
      </w:r>
      <w:r w:rsidRPr="00156CB0">
        <w:rPr>
          <w:rFonts w:ascii="Arial" w:hAnsi="Arial" w:cs="Arial"/>
          <w:i/>
          <w:sz w:val="22"/>
          <w:szCs w:val="22"/>
        </w:rPr>
        <w:fldChar w:fldCharType="separate"/>
      </w:r>
      <w:r w:rsidR="001C74BC">
        <w:rPr>
          <w:rFonts w:ascii="Arial" w:hAnsi="Arial" w:cs="Arial"/>
          <w:i/>
          <w:noProof/>
          <w:sz w:val="22"/>
          <w:szCs w:val="22"/>
        </w:rPr>
        <w:t>5</w:t>
      </w:r>
      <w:r w:rsidRPr="00156CB0">
        <w:rPr>
          <w:rFonts w:ascii="Arial" w:hAnsi="Arial" w:cs="Arial"/>
          <w:i/>
          <w:sz w:val="22"/>
          <w:szCs w:val="22"/>
        </w:rPr>
        <w:fldChar w:fldCharType="end"/>
      </w:r>
      <w:r w:rsidRPr="00156CB0">
        <w:rPr>
          <w:rFonts w:ascii="Arial" w:hAnsi="Arial" w:cs="Arial"/>
          <w:i/>
          <w:sz w:val="22"/>
          <w:szCs w:val="22"/>
        </w:rPr>
        <w:t>: NW indicates UE whether to receive msg2 after the triggered PRACH transmissions</w:t>
      </w:r>
    </w:p>
    <w:p w14:paraId="3CA67954" w14:textId="40F99FD6" w:rsidR="001463DE" w:rsidRDefault="001463DE" w:rsidP="00B35D70">
      <w:pPr>
        <w:pStyle w:val="af3"/>
        <w:numPr>
          <w:ilvl w:val="0"/>
          <w:numId w:val="33"/>
        </w:numPr>
        <w:rPr>
          <w:rFonts w:ascii="Arial" w:hAnsi="Arial" w:cs="Arial"/>
          <w:i/>
          <w:sz w:val="22"/>
          <w:szCs w:val="22"/>
        </w:rPr>
      </w:pPr>
      <w:r w:rsidRPr="001463DE">
        <w:rPr>
          <w:rFonts w:ascii="Arial" w:hAnsi="Arial" w:cs="Arial"/>
          <w:i/>
          <w:sz w:val="22"/>
          <w:szCs w:val="22"/>
        </w:rPr>
        <w:t>If indicated, UE expects no msg2 will be transmitted by Network and TA-value of target cell will be given in the cell switch command</w:t>
      </w:r>
    </w:p>
    <w:p w14:paraId="7713E9D5" w14:textId="7883E73E" w:rsidR="001C74BC" w:rsidRDefault="00B63E55" w:rsidP="001C74BC">
      <w:pPr>
        <w:pStyle w:val="af8"/>
        <w:numPr>
          <w:ilvl w:val="0"/>
          <w:numId w:val="32"/>
        </w:numPr>
        <w:rPr>
          <w:rFonts w:ascii="Arial" w:eastAsia="SimSun" w:hAnsi="Arial" w:cs="Arial"/>
          <w:b/>
          <w:i/>
          <w:sz w:val="22"/>
        </w:rPr>
      </w:pPr>
      <w:r w:rsidRPr="00B35D70">
        <w:rPr>
          <w:rFonts w:ascii="Arial" w:eastAsia="SimSun" w:hAnsi="Arial" w:cs="Arial"/>
          <w:b/>
          <w:i/>
          <w:sz w:val="22"/>
        </w:rPr>
        <w:t>If not indicated, Network will transmit msg2 of neighboring cell through the serving ce</w:t>
      </w:r>
      <w:r w:rsidR="001C74BC">
        <w:rPr>
          <w:rFonts w:ascii="Arial" w:eastAsia="SimSun" w:hAnsi="Arial" w:cs="Arial"/>
          <w:b/>
          <w:i/>
          <w:sz w:val="22"/>
        </w:rPr>
        <w:t xml:space="preserve">ll </w:t>
      </w:r>
    </w:p>
    <w:p w14:paraId="0E1BF6DF" w14:textId="1D62EC67" w:rsidR="001C74BC" w:rsidRPr="00E96D8B" w:rsidRDefault="001C74BC" w:rsidP="001C74BC">
      <w:pPr>
        <w:pStyle w:val="af8"/>
        <w:numPr>
          <w:ilvl w:val="0"/>
          <w:numId w:val="32"/>
        </w:numPr>
        <w:rPr>
          <w:rFonts w:ascii="Arial" w:eastAsia="SimSun" w:hAnsi="Arial" w:cs="Arial"/>
          <w:b/>
          <w:i/>
          <w:sz w:val="22"/>
        </w:rPr>
      </w:pPr>
      <w:r w:rsidRPr="001C74BC">
        <w:rPr>
          <w:rFonts w:ascii="Arial" w:eastAsia="SimSun" w:hAnsi="Arial" w:cs="Arial"/>
          <w:b/>
          <w:i/>
          <w:sz w:val="22"/>
        </w:rPr>
        <w:t>Send LS to inform RAN2/RAN4 above conclusions</w:t>
      </w:r>
    </w:p>
    <w:bookmarkEnd w:id="15"/>
    <w:p w14:paraId="27FEE2B4" w14:textId="774B36C6" w:rsidR="00B63E55" w:rsidRPr="00B35D70" w:rsidRDefault="00B63E55" w:rsidP="00B35D70">
      <w:pPr>
        <w:rPr>
          <w:rFonts w:ascii="Arial" w:hAnsi="Arial" w:cs="Arial"/>
          <w:i/>
          <w:sz w:val="22"/>
        </w:rPr>
      </w:pPr>
    </w:p>
    <w:p w14:paraId="1BBFA079" w14:textId="77777777" w:rsidR="00F7456E" w:rsidRPr="007A1609" w:rsidRDefault="00F7456E" w:rsidP="00B35D70">
      <w:pPr>
        <w:pStyle w:val="af8"/>
        <w:ind w:left="764"/>
        <w:rPr>
          <w:rFonts w:ascii="Arial" w:hAnsi="Arial" w:cs="Arial"/>
          <w:i/>
          <w:sz w:val="22"/>
        </w:rPr>
      </w:pPr>
    </w:p>
    <w:bookmarkEnd w:id="16"/>
    <w:p w14:paraId="0E4E2766" w14:textId="77777777" w:rsidR="00F7456E" w:rsidRDefault="00F7456E" w:rsidP="00F7456E">
      <w:pPr>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 xml:space="preserve">he next issue to be studied is how to associate TA/TAG? In last meeting, 2 </w:t>
      </w:r>
      <w:r w:rsidRPr="00E470C5">
        <w:rPr>
          <w:rFonts w:ascii="Arial" w:hAnsi="Arial" w:cs="Arial"/>
          <w:sz w:val="20"/>
          <w:szCs w:val="20"/>
          <w:lang w:val="en-GB"/>
        </w:rPr>
        <w:t>alternatives of associating TA/TAG to candidate cell</w:t>
      </w:r>
      <w:r w:rsidRPr="00E470C5" w:rsidDel="00E470C5">
        <w:rPr>
          <w:rFonts w:ascii="Arial" w:hAnsi="Arial" w:cs="Arial"/>
          <w:sz w:val="20"/>
          <w:szCs w:val="20"/>
          <w:lang w:val="en-GB"/>
        </w:rPr>
        <w:t xml:space="preserve"> </w:t>
      </w:r>
      <w:r>
        <w:rPr>
          <w:rFonts w:ascii="Arial" w:hAnsi="Arial" w:cs="Arial"/>
          <w:sz w:val="20"/>
          <w:szCs w:val="20"/>
          <w:lang w:val="en-GB"/>
        </w:rPr>
        <w:t xml:space="preserve">are provided. Considering that ICBM has already been agreed and it is </w:t>
      </w:r>
      <w:r w:rsidRPr="00DC0FCB">
        <w:rPr>
          <w:rFonts w:ascii="Arial" w:hAnsi="Arial" w:cs="Arial"/>
          <w:sz w:val="20"/>
          <w:szCs w:val="20"/>
          <w:lang w:val="en-GB"/>
        </w:rPr>
        <w:t>intuitive</w:t>
      </w:r>
      <w:r w:rsidRPr="00DC0FCB" w:rsidDel="00E470C5">
        <w:rPr>
          <w:rFonts w:ascii="Arial" w:hAnsi="Arial" w:cs="Arial"/>
          <w:sz w:val="20"/>
          <w:szCs w:val="20"/>
          <w:lang w:val="en-GB"/>
        </w:rPr>
        <w:t xml:space="preserve"> </w:t>
      </w:r>
      <w:r>
        <w:rPr>
          <w:rFonts w:ascii="Arial" w:hAnsi="Arial" w:cs="Arial"/>
          <w:sz w:val="20"/>
          <w:szCs w:val="20"/>
          <w:lang w:val="en-GB"/>
        </w:rPr>
        <w:t>to “a</w:t>
      </w:r>
      <w:r w:rsidRPr="00095803">
        <w:rPr>
          <w:rFonts w:ascii="Arial" w:hAnsi="Arial" w:cs="Arial"/>
          <w:sz w:val="20"/>
          <w:szCs w:val="20"/>
          <w:lang w:val="en-GB"/>
        </w:rPr>
        <w:t>ssociate TAG to TCI-state/spatial relation</w:t>
      </w:r>
      <w:r>
        <w:rPr>
          <w:rFonts w:ascii="Arial" w:hAnsi="Arial" w:cs="Arial"/>
          <w:sz w:val="20"/>
          <w:szCs w:val="20"/>
          <w:lang w:val="en-GB"/>
        </w:rPr>
        <w:t xml:space="preserve">.” We suggest </w:t>
      </w:r>
      <w:proofErr w:type="gramStart"/>
      <w:r>
        <w:rPr>
          <w:rFonts w:ascii="Arial" w:hAnsi="Arial" w:cs="Arial"/>
          <w:sz w:val="20"/>
          <w:szCs w:val="20"/>
          <w:lang w:val="en-GB"/>
        </w:rPr>
        <w:t>to apply</w:t>
      </w:r>
      <w:proofErr w:type="gramEnd"/>
      <w:r>
        <w:rPr>
          <w:rFonts w:ascii="Arial" w:hAnsi="Arial" w:cs="Arial"/>
          <w:sz w:val="20"/>
          <w:szCs w:val="20"/>
          <w:lang w:val="en-GB"/>
        </w:rPr>
        <w:t xml:space="preserve"> alternative 1.</w:t>
      </w:r>
    </w:p>
    <w:p w14:paraId="674A1D90" w14:textId="09ADC83C" w:rsidR="00F7456E" w:rsidRDefault="00F7456E" w:rsidP="00F7456E">
      <w:pPr>
        <w:pStyle w:val="af3"/>
        <w:rPr>
          <w:rFonts w:ascii="Arial" w:hAnsi="Arial" w:cs="Arial"/>
          <w:i/>
          <w:sz w:val="22"/>
          <w:szCs w:val="22"/>
        </w:rPr>
      </w:pPr>
      <w:bookmarkStart w:id="17" w:name="_Ref118738754"/>
      <w:r w:rsidRPr="00156CB0">
        <w:rPr>
          <w:rFonts w:ascii="Arial" w:hAnsi="Arial" w:cs="Arial"/>
          <w:i/>
          <w:sz w:val="22"/>
          <w:szCs w:val="22"/>
        </w:rPr>
        <w:t xml:space="preserve">Proposal </w:t>
      </w:r>
      <w:r w:rsidRPr="00156CB0">
        <w:rPr>
          <w:rFonts w:ascii="Arial" w:hAnsi="Arial" w:cs="Arial"/>
          <w:i/>
          <w:sz w:val="22"/>
          <w:szCs w:val="22"/>
        </w:rPr>
        <w:fldChar w:fldCharType="begin"/>
      </w:r>
      <w:r w:rsidRPr="00156CB0">
        <w:rPr>
          <w:rFonts w:ascii="Arial" w:hAnsi="Arial" w:cs="Arial"/>
          <w:i/>
          <w:sz w:val="22"/>
          <w:szCs w:val="22"/>
        </w:rPr>
        <w:instrText xml:space="preserve"> SEQ Proposal \* ARABIC </w:instrText>
      </w:r>
      <w:r w:rsidRPr="00156CB0">
        <w:rPr>
          <w:rFonts w:ascii="Arial" w:hAnsi="Arial" w:cs="Arial"/>
          <w:i/>
          <w:sz w:val="22"/>
          <w:szCs w:val="22"/>
        </w:rPr>
        <w:fldChar w:fldCharType="separate"/>
      </w:r>
      <w:r w:rsidR="001C74BC">
        <w:rPr>
          <w:rFonts w:ascii="Arial" w:hAnsi="Arial" w:cs="Arial"/>
          <w:i/>
          <w:noProof/>
          <w:sz w:val="22"/>
          <w:szCs w:val="22"/>
        </w:rPr>
        <w:t>6</w:t>
      </w:r>
      <w:r w:rsidRPr="00156CB0">
        <w:rPr>
          <w:rFonts w:ascii="Arial" w:hAnsi="Arial" w:cs="Arial"/>
          <w:i/>
          <w:sz w:val="22"/>
          <w:szCs w:val="22"/>
        </w:rPr>
        <w:fldChar w:fldCharType="end"/>
      </w:r>
      <w:r w:rsidRPr="00156CB0">
        <w:rPr>
          <w:rFonts w:ascii="Arial" w:hAnsi="Arial" w:cs="Arial"/>
          <w:i/>
          <w:sz w:val="22"/>
          <w:szCs w:val="22"/>
        </w:rPr>
        <w:t>: Associate TAG to TCI-state/spatial relation</w:t>
      </w:r>
      <w:bookmarkEnd w:id="17"/>
    </w:p>
    <w:bookmarkEnd w:id="0"/>
    <w:bookmarkEnd w:id="1"/>
    <w:bookmarkEnd w:id="3"/>
    <w:bookmarkEnd w:id="4"/>
    <w:bookmarkEnd w:id="5"/>
    <w:bookmarkEnd w:id="6"/>
    <w:bookmarkEnd w:id="7"/>
    <w:p w14:paraId="245A9E03" w14:textId="394F7B9B" w:rsidR="001A5AD5" w:rsidRPr="007D3999" w:rsidRDefault="00C67B54" w:rsidP="00C67B54">
      <w:pPr>
        <w:pStyle w:val="1"/>
        <w:ind w:left="0" w:firstLine="0"/>
        <w:rPr>
          <w:rFonts w:cs="Arial"/>
          <w:color w:val="000000" w:themeColor="text1"/>
          <w:lang w:val="en-US"/>
        </w:rPr>
      </w:pPr>
      <w:r>
        <w:rPr>
          <w:rFonts w:cs="Arial"/>
          <w:color w:val="000000" w:themeColor="text1"/>
          <w:lang w:val="en-US"/>
        </w:rPr>
        <w:lastRenderedPageBreak/>
        <w:t>3</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2FB340CA" w14:textId="4E77D51E" w:rsidR="00FE0617" w:rsidRDefault="00FE0617">
      <w:pPr>
        <w:pStyle w:val="TAL"/>
        <w:jc w:val="both"/>
        <w:rPr>
          <w:rFonts w:cs="Arial"/>
          <w:sz w:val="24"/>
        </w:rPr>
      </w:pPr>
      <w:r w:rsidRPr="004F6B7E">
        <w:rPr>
          <w:rFonts w:cs="Arial"/>
          <w:sz w:val="24"/>
        </w:rPr>
        <w:t xml:space="preserve">In this contribution, </w:t>
      </w:r>
      <w:r>
        <w:rPr>
          <w:rFonts w:cs="Arial"/>
          <w:sz w:val="24"/>
        </w:rPr>
        <w:t xml:space="preserve">we </w:t>
      </w:r>
      <w:r w:rsidRPr="0099673F">
        <w:rPr>
          <w:rFonts w:cs="Arial"/>
          <w:sz w:val="24"/>
        </w:rPr>
        <w:t>propose</w:t>
      </w:r>
    </w:p>
    <w:p w14:paraId="22CA041F" w14:textId="77777777" w:rsidR="001C74BC" w:rsidRPr="00B35D70" w:rsidRDefault="004E2B20" w:rsidP="00B35D70">
      <w:pPr>
        <w:pStyle w:val="TAL"/>
        <w:rPr>
          <w:rFonts w:cs="Arial"/>
          <w:i/>
          <w:sz w:val="22"/>
        </w:rPr>
      </w:pPr>
      <w:r w:rsidRPr="00B35D70">
        <w:rPr>
          <w:rFonts w:cs="Arial"/>
          <w:b/>
          <w:i/>
          <w:sz w:val="22"/>
        </w:rPr>
        <w:fldChar w:fldCharType="begin"/>
      </w:r>
      <w:r w:rsidRPr="00B35D70">
        <w:rPr>
          <w:rFonts w:cs="Arial"/>
          <w:b/>
          <w:i/>
          <w:sz w:val="22"/>
        </w:rPr>
        <w:instrText xml:space="preserve"> REF _Ref118738668 \h  \* MERGEFORMAT </w:instrText>
      </w:r>
      <w:r w:rsidRPr="00B35D70">
        <w:rPr>
          <w:rFonts w:cs="Arial"/>
          <w:b/>
          <w:i/>
          <w:sz w:val="22"/>
        </w:rPr>
      </w:r>
      <w:r w:rsidRPr="00B35D70">
        <w:rPr>
          <w:rFonts w:cs="Arial"/>
          <w:b/>
          <w:i/>
          <w:sz w:val="22"/>
        </w:rPr>
        <w:fldChar w:fldCharType="separate"/>
      </w:r>
      <w:r w:rsidR="001C74BC" w:rsidRPr="00B35D70">
        <w:rPr>
          <w:rFonts w:cs="Arial"/>
          <w:b/>
          <w:i/>
          <w:sz w:val="22"/>
        </w:rPr>
        <w:t xml:space="preserve">Proposal 1: For TA management in L1/L2 based mobility, 1 TA/TAG per candidate cell can be acquired </w:t>
      </w:r>
    </w:p>
    <w:p w14:paraId="3B0CD042" w14:textId="77777777" w:rsidR="001C74BC" w:rsidRPr="00B35D70" w:rsidRDefault="001C74BC" w:rsidP="00B35D70">
      <w:pPr>
        <w:pStyle w:val="TAL"/>
        <w:numPr>
          <w:ilvl w:val="0"/>
          <w:numId w:val="36"/>
        </w:numPr>
        <w:rPr>
          <w:rFonts w:cs="Arial"/>
          <w:i/>
          <w:sz w:val="22"/>
        </w:rPr>
      </w:pPr>
      <w:r w:rsidRPr="00B35D70">
        <w:rPr>
          <w:rFonts w:cs="Arial"/>
          <w:b/>
          <w:i/>
          <w:sz w:val="22"/>
        </w:rPr>
        <w:t xml:space="preserve">The number of TAs/TAGs among all candidate cells can be larger than 1 </w:t>
      </w:r>
    </w:p>
    <w:p w14:paraId="2FA5BBB7" w14:textId="660C8572" w:rsidR="004E2B20" w:rsidRPr="007A1609" w:rsidRDefault="001C74BC" w:rsidP="00B35D70">
      <w:pPr>
        <w:pStyle w:val="TAL"/>
        <w:numPr>
          <w:ilvl w:val="0"/>
          <w:numId w:val="36"/>
        </w:numPr>
        <w:rPr>
          <w:rFonts w:cs="Arial"/>
          <w:b/>
          <w:i/>
          <w:sz w:val="22"/>
        </w:rPr>
      </w:pPr>
      <w:r w:rsidRPr="00B35D70">
        <w:rPr>
          <w:rFonts w:cs="Arial"/>
          <w:b/>
          <w:i/>
          <w:sz w:val="22"/>
        </w:rPr>
        <w:t xml:space="preserve">The maximum number of TAs/TAGs among all candidate cells shall be a UE capability </w:t>
      </w:r>
      <w:r w:rsidR="004E2B20" w:rsidRPr="00B35D70">
        <w:rPr>
          <w:rFonts w:cs="Arial"/>
          <w:b/>
          <w:i/>
          <w:sz w:val="22"/>
        </w:rPr>
        <w:fldChar w:fldCharType="end"/>
      </w:r>
    </w:p>
    <w:p w14:paraId="3D2E81F5" w14:textId="77777777" w:rsidR="001C74BC" w:rsidRPr="009A1790" w:rsidRDefault="007B76C5" w:rsidP="00B35D70">
      <w:pPr>
        <w:pStyle w:val="TAL"/>
        <w:rPr>
          <w:rFonts w:cs="Arial"/>
          <w:i/>
          <w:sz w:val="22"/>
        </w:rPr>
      </w:pPr>
      <w:r w:rsidRPr="00156CB0">
        <w:rPr>
          <w:rFonts w:cs="Arial"/>
          <w:b/>
          <w:i/>
          <w:sz w:val="22"/>
        </w:rPr>
        <w:fldChar w:fldCharType="begin"/>
      </w:r>
      <w:r w:rsidRPr="00156CB0">
        <w:rPr>
          <w:rFonts w:cs="Arial"/>
          <w:b/>
          <w:i/>
          <w:sz w:val="22"/>
        </w:rPr>
        <w:instrText xml:space="preserve"> REF _Ref118481173 \h </w:instrText>
      </w:r>
      <w:r w:rsidR="008D4AC2">
        <w:rPr>
          <w:rFonts w:cs="Arial"/>
          <w:b/>
          <w:i/>
          <w:sz w:val="22"/>
        </w:rPr>
        <w:instrText xml:space="preserve"> \* MERGEFORMAT </w:instrText>
      </w:r>
      <w:r w:rsidRPr="00156CB0">
        <w:rPr>
          <w:rFonts w:cs="Arial"/>
          <w:b/>
          <w:i/>
          <w:sz w:val="22"/>
        </w:rPr>
      </w:r>
      <w:r w:rsidRPr="00156CB0">
        <w:rPr>
          <w:rFonts w:cs="Arial"/>
          <w:b/>
          <w:i/>
          <w:sz w:val="22"/>
        </w:rPr>
        <w:fldChar w:fldCharType="separate"/>
      </w:r>
      <w:r w:rsidR="001C74BC" w:rsidRPr="00B35D70">
        <w:rPr>
          <w:rFonts w:cs="Arial"/>
          <w:b/>
          <w:i/>
          <w:sz w:val="22"/>
        </w:rPr>
        <w:t xml:space="preserve">Proposal 2: Support PRACH transmissions to multiple candidate cells simultaneously </w:t>
      </w:r>
    </w:p>
    <w:p w14:paraId="3C3C7616" w14:textId="77777777" w:rsidR="001C74BC" w:rsidRPr="009A1790" w:rsidRDefault="001C74BC" w:rsidP="00B35D70">
      <w:pPr>
        <w:pStyle w:val="TAL"/>
        <w:rPr>
          <w:rFonts w:cs="Arial"/>
          <w:i/>
          <w:sz w:val="22"/>
        </w:rPr>
      </w:pPr>
      <w:r w:rsidRPr="00B35D70">
        <w:rPr>
          <w:rFonts w:cs="Arial"/>
          <w:b/>
          <w:i/>
          <w:sz w:val="22"/>
        </w:rPr>
        <w:t>Proposal 3: Support PRACH transmissions triggered by a TCI activation command</w:t>
      </w:r>
    </w:p>
    <w:p w14:paraId="768AFAE9" w14:textId="77777777" w:rsidR="001C74BC" w:rsidRPr="009A1790" w:rsidRDefault="001C74BC" w:rsidP="00B35D70">
      <w:pPr>
        <w:pStyle w:val="TAL"/>
        <w:rPr>
          <w:rFonts w:cs="Arial"/>
          <w:i/>
          <w:sz w:val="22"/>
        </w:rPr>
      </w:pPr>
      <w:r w:rsidRPr="00B35D70">
        <w:rPr>
          <w:rFonts w:cs="Arial"/>
          <w:b/>
          <w:i/>
          <w:sz w:val="22"/>
        </w:rPr>
        <w:t>Proposal 4: Support dedicated RACH resource per candidate cell</w:t>
      </w:r>
    </w:p>
    <w:p w14:paraId="7EF97395" w14:textId="470C5FD1" w:rsidR="001C74BC" w:rsidRPr="009A1790" w:rsidRDefault="007B76C5" w:rsidP="00B35D70">
      <w:pPr>
        <w:pStyle w:val="TAL"/>
        <w:rPr>
          <w:rFonts w:cs="Arial"/>
          <w:i/>
          <w:sz w:val="22"/>
        </w:rPr>
      </w:pPr>
      <w:r w:rsidRPr="00156CB0">
        <w:rPr>
          <w:rFonts w:cs="Arial"/>
          <w:b/>
          <w:i/>
          <w:sz w:val="22"/>
        </w:rPr>
        <w:fldChar w:fldCharType="end"/>
      </w:r>
      <w:r w:rsidRPr="00156CB0">
        <w:rPr>
          <w:rFonts w:cs="Arial"/>
          <w:b/>
          <w:i/>
          <w:sz w:val="22"/>
        </w:rPr>
        <w:fldChar w:fldCharType="begin"/>
      </w:r>
      <w:r w:rsidRPr="00156CB0">
        <w:rPr>
          <w:rFonts w:cs="Arial"/>
          <w:b/>
          <w:i/>
          <w:sz w:val="22"/>
        </w:rPr>
        <w:instrText xml:space="preserve"> REF _Ref118481180 \h </w:instrText>
      </w:r>
      <w:r w:rsidR="008D4AC2">
        <w:rPr>
          <w:rFonts w:cs="Arial"/>
          <w:b/>
          <w:i/>
          <w:sz w:val="22"/>
        </w:rPr>
        <w:instrText xml:space="preserve"> \* MERGEFORMAT </w:instrText>
      </w:r>
      <w:r w:rsidRPr="00156CB0">
        <w:rPr>
          <w:rFonts w:cs="Arial"/>
          <w:b/>
          <w:i/>
          <w:sz w:val="22"/>
        </w:rPr>
      </w:r>
      <w:r w:rsidRPr="00156CB0">
        <w:rPr>
          <w:rFonts w:cs="Arial"/>
          <w:b/>
          <w:i/>
          <w:sz w:val="22"/>
        </w:rPr>
        <w:fldChar w:fldCharType="separate"/>
      </w:r>
      <w:r w:rsidR="001C74BC" w:rsidRPr="00B35D70">
        <w:rPr>
          <w:rFonts w:cs="Arial"/>
          <w:b/>
          <w:i/>
          <w:sz w:val="22"/>
        </w:rPr>
        <w:t>Proposal 5: NW indicates UE whether to receive msg2 after the triggered PRACH transmissions</w:t>
      </w:r>
    </w:p>
    <w:p w14:paraId="42D41AA8" w14:textId="77777777" w:rsidR="001C74BC" w:rsidRPr="009A1790" w:rsidRDefault="001C74BC" w:rsidP="00B35D70">
      <w:pPr>
        <w:pStyle w:val="TAL"/>
        <w:numPr>
          <w:ilvl w:val="0"/>
          <w:numId w:val="37"/>
        </w:numPr>
        <w:rPr>
          <w:rFonts w:cs="Arial"/>
          <w:i/>
          <w:sz w:val="22"/>
        </w:rPr>
      </w:pPr>
      <w:r w:rsidRPr="00B35D70">
        <w:rPr>
          <w:rFonts w:cs="Arial"/>
          <w:b/>
          <w:i/>
          <w:sz w:val="22"/>
        </w:rPr>
        <w:t>If indicated, UE expects no msg2 will be transmitted by Network and TA-value of target cell will be given in the cell switch command</w:t>
      </w:r>
    </w:p>
    <w:p w14:paraId="5E0F7EDD" w14:textId="77777777" w:rsidR="001C74BC" w:rsidRPr="00B35D70" w:rsidRDefault="001C74BC" w:rsidP="00B35D70">
      <w:pPr>
        <w:pStyle w:val="TAL"/>
        <w:numPr>
          <w:ilvl w:val="0"/>
          <w:numId w:val="37"/>
        </w:numPr>
        <w:rPr>
          <w:rFonts w:cs="Arial"/>
          <w:b/>
          <w:i/>
          <w:sz w:val="22"/>
        </w:rPr>
      </w:pPr>
      <w:r w:rsidRPr="00B35D70">
        <w:rPr>
          <w:rFonts w:cs="Arial"/>
          <w:b/>
          <w:i/>
          <w:sz w:val="22"/>
        </w:rPr>
        <w:t xml:space="preserve">If not indicated, Network will transmit msg2 of neighboring cell through the serving cell </w:t>
      </w:r>
    </w:p>
    <w:p w14:paraId="1382CA57" w14:textId="77777777" w:rsidR="001C74BC" w:rsidRPr="00B35D70" w:rsidRDefault="001C74BC" w:rsidP="00B35D70">
      <w:pPr>
        <w:pStyle w:val="TAL"/>
        <w:numPr>
          <w:ilvl w:val="0"/>
          <w:numId w:val="37"/>
        </w:numPr>
        <w:rPr>
          <w:rFonts w:cs="Arial"/>
          <w:b/>
          <w:i/>
          <w:sz w:val="22"/>
        </w:rPr>
      </w:pPr>
      <w:r w:rsidRPr="00B35D70">
        <w:rPr>
          <w:rFonts w:cs="Arial"/>
          <w:b/>
          <w:i/>
          <w:sz w:val="22"/>
        </w:rPr>
        <w:t>Send LS to inform RAN2/RAN4 above conclusions</w:t>
      </w:r>
    </w:p>
    <w:p w14:paraId="35F9A86C" w14:textId="29648735" w:rsidR="00C70484" w:rsidRPr="00B35D70" w:rsidRDefault="007B76C5" w:rsidP="00B35D70">
      <w:pPr>
        <w:pStyle w:val="TAL"/>
        <w:rPr>
          <w:rFonts w:cs="Arial"/>
          <w:b/>
          <w:i/>
          <w:sz w:val="22"/>
        </w:rPr>
      </w:pPr>
      <w:r w:rsidRPr="00156CB0">
        <w:rPr>
          <w:rFonts w:cs="Arial"/>
          <w:b/>
          <w:i/>
          <w:sz w:val="22"/>
        </w:rPr>
        <w:fldChar w:fldCharType="end"/>
      </w:r>
      <w:r w:rsidR="001C74BC" w:rsidRPr="00B35D70">
        <w:rPr>
          <w:rFonts w:cs="Arial"/>
          <w:b/>
          <w:i/>
          <w:sz w:val="22"/>
        </w:rPr>
        <w:fldChar w:fldCharType="begin"/>
      </w:r>
      <w:r w:rsidR="001C74BC" w:rsidRPr="00B35D70">
        <w:rPr>
          <w:rFonts w:cs="Arial"/>
          <w:b/>
          <w:i/>
          <w:sz w:val="22"/>
        </w:rPr>
        <w:instrText xml:space="preserve"> REF _Ref118738754 \h </w:instrText>
      </w:r>
      <w:r w:rsidR="001C74BC">
        <w:rPr>
          <w:rFonts w:cs="Arial"/>
          <w:b/>
          <w:i/>
          <w:sz w:val="22"/>
        </w:rPr>
        <w:instrText xml:space="preserve"> \* MERGEFORMAT </w:instrText>
      </w:r>
      <w:r w:rsidR="001C74BC" w:rsidRPr="00B35D70">
        <w:rPr>
          <w:rFonts w:cs="Arial"/>
          <w:b/>
          <w:i/>
          <w:sz w:val="22"/>
        </w:rPr>
      </w:r>
      <w:r w:rsidR="001C74BC" w:rsidRPr="00B35D70">
        <w:rPr>
          <w:rFonts w:cs="Arial"/>
          <w:b/>
          <w:i/>
          <w:sz w:val="22"/>
        </w:rPr>
        <w:fldChar w:fldCharType="separate"/>
      </w:r>
      <w:r w:rsidR="001C74BC" w:rsidRPr="00B35D70">
        <w:rPr>
          <w:rFonts w:cs="Arial"/>
          <w:b/>
          <w:i/>
          <w:sz w:val="22"/>
        </w:rPr>
        <w:t>Proposal 6: Associate TAG to TCI-state/spatial relation</w:t>
      </w:r>
      <w:r w:rsidR="001C74BC" w:rsidRPr="00B35D70">
        <w:rPr>
          <w:rFonts w:cs="Arial"/>
          <w:b/>
          <w:i/>
          <w:sz w:val="22"/>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50171384" w14:textId="4752D748" w:rsidR="0015694D" w:rsidRPr="00C67B54" w:rsidRDefault="0015694D" w:rsidP="0015694D">
      <w:pPr>
        <w:pStyle w:val="af8"/>
        <w:numPr>
          <w:ilvl w:val="0"/>
          <w:numId w:val="1"/>
        </w:numPr>
        <w:rPr>
          <w:rFonts w:ascii="Arial" w:hAnsi="Arial" w:cs="Arial"/>
        </w:rPr>
      </w:pPr>
      <w:bookmarkStart w:id="18" w:name="_Ref115359201"/>
      <w:r w:rsidRPr="009B75C2">
        <w:rPr>
          <w:rFonts w:ascii="Arial" w:hAnsi="Arial" w:cs="Arial"/>
        </w:rPr>
        <w:t>3GPP TSG-RAN WG</w:t>
      </w:r>
      <w:r>
        <w:rPr>
          <w:rFonts w:ascii="Arial" w:hAnsi="Arial" w:cs="Arial"/>
        </w:rPr>
        <w:t>1</w:t>
      </w:r>
      <w:r w:rsidRPr="009B75C2">
        <w:rPr>
          <w:rFonts w:ascii="Arial" w:hAnsi="Arial" w:cs="Arial"/>
        </w:rPr>
        <w:t xml:space="preserve"> Meeting #</w:t>
      </w:r>
      <w:r w:rsidR="00EC6B4E">
        <w:rPr>
          <w:rFonts w:ascii="Arial" w:hAnsi="Arial" w:cs="Arial"/>
        </w:rPr>
        <w:t>11</w:t>
      </w:r>
      <w:r w:rsidR="00B63E55">
        <w:rPr>
          <w:rFonts w:ascii="Arial" w:hAnsi="Arial" w:cs="Arial"/>
        </w:rPr>
        <w:t>0-Bis</w:t>
      </w:r>
      <w:r>
        <w:rPr>
          <w:rFonts w:ascii="Arial" w:hAnsi="Arial" w:cs="Arial"/>
        </w:rPr>
        <w:t xml:space="preserve"> Chairman Notes, </w:t>
      </w:r>
      <w:proofErr w:type="gramStart"/>
      <w:r w:rsidR="00B63E55">
        <w:rPr>
          <w:rFonts w:ascii="Arial" w:hAnsi="Arial" w:cs="Arial"/>
        </w:rPr>
        <w:t>Oct</w:t>
      </w:r>
      <w:r w:rsidRPr="00C67B54">
        <w:rPr>
          <w:rFonts w:ascii="Arial" w:hAnsi="Arial" w:cs="Arial"/>
        </w:rPr>
        <w:t>.,</w:t>
      </w:r>
      <w:proofErr w:type="gramEnd"/>
      <w:r w:rsidRPr="00C67B54">
        <w:rPr>
          <w:rFonts w:ascii="Arial" w:hAnsi="Arial" w:cs="Arial"/>
        </w:rPr>
        <w:t xml:space="preserve"> 202</w:t>
      </w:r>
      <w:r>
        <w:rPr>
          <w:rFonts w:ascii="Arial" w:hAnsi="Arial" w:cs="Arial"/>
        </w:rPr>
        <w:t>2</w:t>
      </w:r>
      <w:r w:rsidRPr="00C67B54">
        <w:rPr>
          <w:rFonts w:ascii="Arial" w:hAnsi="Arial" w:cs="Arial"/>
        </w:rPr>
        <w:t>.</w:t>
      </w:r>
      <w:bookmarkEnd w:id="18"/>
    </w:p>
    <w:p w14:paraId="3624D44D" w14:textId="5EFD8CD8" w:rsidR="0040469B" w:rsidRPr="00FE0617" w:rsidRDefault="0040469B" w:rsidP="00FE0617">
      <w:pPr>
        <w:rPr>
          <w:rFonts w:ascii="Arial" w:hAnsi="Arial" w:cs="Arial"/>
        </w:rPr>
      </w:pPr>
    </w:p>
    <w:sectPr w:rsidR="0040469B" w:rsidRPr="00FE0617"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1FC21" w14:textId="77777777" w:rsidR="00804351" w:rsidRDefault="00804351">
      <w:r>
        <w:separator/>
      </w:r>
    </w:p>
  </w:endnote>
  <w:endnote w:type="continuationSeparator" w:id="0">
    <w:p w14:paraId="5223CA00" w14:textId="77777777" w:rsidR="00804351" w:rsidRDefault="0080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67B14" w14:textId="77777777" w:rsidR="00804351" w:rsidRDefault="00804351">
      <w:r>
        <w:separator/>
      </w:r>
    </w:p>
  </w:footnote>
  <w:footnote w:type="continuationSeparator" w:id="0">
    <w:p w14:paraId="2DAE457B" w14:textId="77777777" w:rsidR="00804351" w:rsidRDefault="00804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A18D0"/>
    <w:multiLevelType w:val="hybridMultilevel"/>
    <w:tmpl w:val="10F253D4"/>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30683"/>
    <w:multiLevelType w:val="hybridMultilevel"/>
    <w:tmpl w:val="F03E4194"/>
    <w:lvl w:ilvl="0" w:tplc="0A629204">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2610AC"/>
    <w:multiLevelType w:val="hybridMultilevel"/>
    <w:tmpl w:val="8BE45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3A070F"/>
    <w:multiLevelType w:val="hybridMultilevel"/>
    <w:tmpl w:val="5D5ABB70"/>
    <w:lvl w:ilvl="0" w:tplc="20E2F2D4">
      <w:start w:val="5"/>
      <w:numFmt w:val="bullet"/>
      <w:lvlText w:val="-"/>
      <w:lvlJc w:val="left"/>
      <w:pPr>
        <w:ind w:left="1800" w:hanging="360"/>
      </w:pPr>
      <w:rPr>
        <w:rFonts w:ascii="Calibri" w:eastAsia="新細明體"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 w15:restartNumberingAfterBreak="0">
    <w:nsid w:val="16B839AB"/>
    <w:multiLevelType w:val="hybridMultilevel"/>
    <w:tmpl w:val="B862284E"/>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524646"/>
    <w:multiLevelType w:val="hybridMultilevel"/>
    <w:tmpl w:val="9C10A352"/>
    <w:lvl w:ilvl="0" w:tplc="CD2A44EA">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Times New Roman" w:hint="default"/>
      </w:rPr>
    </w:lvl>
    <w:lvl w:ilvl="2" w:tplc="11368168">
      <w:start w:val="1"/>
      <w:numFmt w:val="bullet"/>
      <w:lvlText w:val="-"/>
      <w:lvlJc w:val="left"/>
      <w:pPr>
        <w:ind w:left="1440" w:hanging="480"/>
      </w:pPr>
      <w:rPr>
        <w:rFonts w:ascii="Times New Roman" w:eastAsia="SimSun"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0632449"/>
    <w:multiLevelType w:val="hybridMultilevel"/>
    <w:tmpl w:val="81806AA8"/>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982F11"/>
    <w:multiLevelType w:val="hybridMultilevel"/>
    <w:tmpl w:val="FC4A28DC"/>
    <w:lvl w:ilvl="0" w:tplc="08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7220F41"/>
    <w:multiLevelType w:val="hybridMultilevel"/>
    <w:tmpl w:val="F0383858"/>
    <w:lvl w:ilvl="0" w:tplc="08090003">
      <w:start w:val="1"/>
      <w:numFmt w:val="bullet"/>
      <w:lvlText w:val="o"/>
      <w:lvlJc w:val="left"/>
      <w:pPr>
        <w:ind w:left="480" w:hanging="480"/>
      </w:pPr>
      <w:rPr>
        <w:rFonts w:ascii="Courier New" w:hAnsi="Courier New" w:cs="Wingdings" w:hint="default"/>
      </w:rPr>
    </w:lvl>
    <w:lvl w:ilvl="1" w:tplc="08090003">
      <w:start w:val="1"/>
      <w:numFmt w:val="bullet"/>
      <w:lvlText w:val="o"/>
      <w:lvlJc w:val="left"/>
      <w:pPr>
        <w:ind w:left="960" w:hanging="480"/>
      </w:pPr>
      <w:rPr>
        <w:rFonts w:ascii="Courier New" w:hAnsi="Courier New" w:cs="Courier New" w:hint="default"/>
      </w:rPr>
    </w:lvl>
    <w:lvl w:ilvl="2" w:tplc="5FF81930">
      <w:start w:val="1"/>
      <w:numFmt w:val="bullet"/>
      <w:lvlText w:val="­"/>
      <w:lvlJc w:val="left"/>
      <w:pPr>
        <w:ind w:left="1440" w:hanging="480"/>
      </w:pPr>
      <w:rPr>
        <w:rFonts w:ascii="SimSun" w:eastAsia="SimSun" w:hAnsi="SimSun" w:hint="eastAsia"/>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A13677C"/>
    <w:multiLevelType w:val="hybridMultilevel"/>
    <w:tmpl w:val="801AD19A"/>
    <w:lvl w:ilvl="0" w:tplc="08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2C5D3739"/>
    <w:multiLevelType w:val="hybridMultilevel"/>
    <w:tmpl w:val="72C8ED2E"/>
    <w:lvl w:ilvl="0" w:tplc="08090003">
      <w:start w:val="1"/>
      <w:numFmt w:val="bullet"/>
      <w:lvlText w:val="o"/>
      <w:lvlJc w:val="left"/>
      <w:pPr>
        <w:tabs>
          <w:tab w:val="num" w:pos="644"/>
        </w:tabs>
        <w:ind w:left="644" w:hanging="360"/>
      </w:pPr>
      <w:rPr>
        <w:rFonts w:ascii="Courier New" w:hAnsi="Courier New" w:cs="Courier New" w:hint="default"/>
        <w:b/>
        <w:i w:val="0"/>
        <w:color w:val="auto"/>
        <w:sz w:val="22"/>
        <w:lang w:val="en-GB"/>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3"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FB3F33"/>
    <w:multiLevelType w:val="hybridMultilevel"/>
    <w:tmpl w:val="A91C190E"/>
    <w:lvl w:ilvl="0" w:tplc="FFFFFFFF">
      <w:start w:val="1"/>
      <w:numFmt w:val="bullet"/>
      <w:lvlText w:val=""/>
      <w:lvlJc w:val="left"/>
      <w:pPr>
        <w:tabs>
          <w:tab w:val="num" w:pos="644"/>
        </w:tabs>
        <w:ind w:left="644" w:hanging="360"/>
      </w:pPr>
      <w:rPr>
        <w:rFonts w:ascii="Symbol" w:hAnsi="Symbol" w:hint="default"/>
        <w:b/>
        <w:i w:val="0"/>
        <w:color w:val="auto"/>
        <w:sz w:val="22"/>
        <w:lang w:val="en-GB"/>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6" w15:restartNumberingAfterBreak="0">
    <w:nsid w:val="38D57359"/>
    <w:multiLevelType w:val="hybridMultilevel"/>
    <w:tmpl w:val="246A6974"/>
    <w:lvl w:ilvl="0" w:tplc="CD2A44EA">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B085F23"/>
    <w:multiLevelType w:val="hybridMultilevel"/>
    <w:tmpl w:val="FA3C56CE"/>
    <w:lvl w:ilvl="0" w:tplc="7E7CDC0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DD4AEB"/>
    <w:multiLevelType w:val="hybridMultilevel"/>
    <w:tmpl w:val="B992C2AA"/>
    <w:lvl w:ilvl="0" w:tplc="08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93A79D0"/>
    <w:multiLevelType w:val="hybridMultilevel"/>
    <w:tmpl w:val="DA06B3B4"/>
    <w:lvl w:ilvl="0" w:tplc="08090003">
      <w:start w:val="1"/>
      <w:numFmt w:val="bullet"/>
      <w:lvlText w:val="o"/>
      <w:lvlJc w:val="left"/>
      <w:pPr>
        <w:ind w:left="480" w:hanging="480"/>
      </w:pPr>
      <w:rPr>
        <w:rFonts w:ascii="Courier New" w:hAnsi="Courier New" w:cs="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F507BD6"/>
    <w:multiLevelType w:val="hybridMultilevel"/>
    <w:tmpl w:val="1A963950"/>
    <w:lvl w:ilvl="0" w:tplc="08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82841CA"/>
    <w:multiLevelType w:val="hybridMultilevel"/>
    <w:tmpl w:val="22848EB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D6C4AD8"/>
    <w:multiLevelType w:val="hybridMultilevel"/>
    <w:tmpl w:val="F746F1D2"/>
    <w:lvl w:ilvl="0" w:tplc="CD2A44EA">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F98225E"/>
    <w:multiLevelType w:val="hybridMultilevel"/>
    <w:tmpl w:val="359AB0E0"/>
    <w:lvl w:ilvl="0" w:tplc="0409000F">
      <w:start w:val="1"/>
      <w:numFmt w:val="decimal"/>
      <w:lvlText w:val="%1."/>
      <w:lvlJc w:val="left"/>
      <w:pPr>
        <w:ind w:left="480" w:hanging="480"/>
      </w:pPr>
    </w:lvl>
    <w:lvl w:ilvl="1" w:tplc="08090003">
      <w:start w:val="1"/>
      <w:numFmt w:val="bullet"/>
      <w:lvlText w:val="o"/>
      <w:lvlJc w:val="left"/>
      <w:pPr>
        <w:ind w:left="960" w:hanging="480"/>
      </w:pPr>
      <w:rPr>
        <w:rFonts w:ascii="Courier New" w:hAnsi="Courier New" w:cs="Courier New"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EF7394"/>
    <w:multiLevelType w:val="hybridMultilevel"/>
    <w:tmpl w:val="F2CC140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sz w:val="12"/>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066FE9"/>
    <w:multiLevelType w:val="hybridMultilevel"/>
    <w:tmpl w:val="01149BF4"/>
    <w:lvl w:ilvl="0" w:tplc="08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70146DC0"/>
    <w:multiLevelType w:val="hybridMultilevel"/>
    <w:tmpl w:val="14C29994"/>
    <w:lvl w:ilvl="0" w:tplc="0409000F">
      <w:start w:val="1"/>
      <w:numFmt w:val="decimal"/>
      <w:pStyle w:val="Agreement"/>
      <w:lvlText w:val="%1."/>
      <w:lvlJc w:val="left"/>
      <w:pPr>
        <w:tabs>
          <w:tab w:val="num" w:pos="360"/>
        </w:tabs>
        <w:ind w:left="360" w:hanging="360"/>
      </w:pPr>
      <w:rPr>
        <w:rFonts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0C9124D"/>
    <w:multiLevelType w:val="hybridMultilevel"/>
    <w:tmpl w:val="6D3C22DA"/>
    <w:lvl w:ilvl="0" w:tplc="08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721719DE"/>
    <w:multiLevelType w:val="hybridMultilevel"/>
    <w:tmpl w:val="07ACD092"/>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C34268B"/>
    <w:multiLevelType w:val="hybridMultilevel"/>
    <w:tmpl w:val="2FFEAA5A"/>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9">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6"/>
  </w:num>
  <w:num w:numId="2">
    <w:abstractNumId w:val="29"/>
  </w:num>
  <w:num w:numId="3">
    <w:abstractNumId w:val="35"/>
  </w:num>
  <w:num w:numId="4">
    <w:abstractNumId w:val="16"/>
  </w:num>
  <w:num w:numId="5">
    <w:abstractNumId w:val="34"/>
  </w:num>
  <w:num w:numId="6">
    <w:abstractNumId w:val="24"/>
  </w:num>
  <w:num w:numId="7">
    <w:abstractNumId w:val="7"/>
  </w:num>
  <w:num w:numId="8">
    <w:abstractNumId w:val="8"/>
  </w:num>
  <w:num w:numId="9">
    <w:abstractNumId w:val="14"/>
  </w:num>
  <w:num w:numId="10">
    <w:abstractNumId w:val="6"/>
  </w:num>
  <w:num w:numId="11">
    <w:abstractNumId w:val="13"/>
  </w:num>
  <w:num w:numId="12">
    <w:abstractNumId w:val="4"/>
  </w:num>
  <w:num w:numId="13">
    <w:abstractNumId w:val="17"/>
  </w:num>
  <w:num w:numId="14">
    <w:abstractNumId w:val="5"/>
  </w:num>
  <w:num w:numId="15">
    <w:abstractNumId w:val="32"/>
  </w:num>
  <w:num w:numId="16">
    <w:abstractNumId w:val="20"/>
  </w:num>
  <w:num w:numId="17">
    <w:abstractNumId w:val="2"/>
  </w:num>
  <w:num w:numId="18">
    <w:abstractNumId w:val="22"/>
  </w:num>
  <w:num w:numId="19">
    <w:abstractNumId w:val="3"/>
  </w:num>
  <w:num w:numId="20">
    <w:abstractNumId w:val="27"/>
  </w:num>
  <w:num w:numId="21">
    <w:abstractNumId w:val="32"/>
  </w:num>
  <w:num w:numId="22">
    <w:abstractNumId w:val="15"/>
  </w:num>
  <w:num w:numId="23">
    <w:abstractNumId w:val="12"/>
  </w:num>
  <w:num w:numId="24">
    <w:abstractNumId w:val="23"/>
  </w:num>
  <w:num w:numId="25">
    <w:abstractNumId w:val="19"/>
  </w:num>
  <w:num w:numId="26">
    <w:abstractNumId w:val="10"/>
  </w:num>
  <w:num w:numId="27">
    <w:abstractNumId w:val="25"/>
  </w:num>
  <w:num w:numId="28">
    <w:abstractNumId w:val="28"/>
  </w:num>
  <w:num w:numId="29">
    <w:abstractNumId w:val="30"/>
  </w:num>
  <w:num w:numId="30">
    <w:abstractNumId w:val="1"/>
  </w:num>
  <w:num w:numId="31">
    <w:abstractNumId w:val="0"/>
  </w:num>
  <w:num w:numId="32">
    <w:abstractNumId w:val="9"/>
  </w:num>
  <w:num w:numId="33">
    <w:abstractNumId w:val="18"/>
  </w:num>
  <w:num w:numId="34">
    <w:abstractNumId w:val="21"/>
  </w:num>
  <w:num w:numId="35">
    <w:abstractNumId w:val="31"/>
  </w:num>
  <w:num w:numId="36">
    <w:abstractNumId w:val="33"/>
  </w:num>
  <w:num w:numId="3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AF7"/>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0F22"/>
    <w:rsid w:val="0003194C"/>
    <w:rsid w:val="00031BC8"/>
    <w:rsid w:val="000322AE"/>
    <w:rsid w:val="00032A62"/>
    <w:rsid w:val="000330AB"/>
    <w:rsid w:val="00033135"/>
    <w:rsid w:val="000339EA"/>
    <w:rsid w:val="00033A74"/>
    <w:rsid w:val="000347B1"/>
    <w:rsid w:val="000360B2"/>
    <w:rsid w:val="0003691C"/>
    <w:rsid w:val="000375D5"/>
    <w:rsid w:val="000378BD"/>
    <w:rsid w:val="00037D22"/>
    <w:rsid w:val="00040007"/>
    <w:rsid w:val="0004006C"/>
    <w:rsid w:val="00040B45"/>
    <w:rsid w:val="00040FA0"/>
    <w:rsid w:val="00041605"/>
    <w:rsid w:val="00041BBE"/>
    <w:rsid w:val="00041C25"/>
    <w:rsid w:val="000426C7"/>
    <w:rsid w:val="000430DB"/>
    <w:rsid w:val="000433B4"/>
    <w:rsid w:val="000438D9"/>
    <w:rsid w:val="000441C8"/>
    <w:rsid w:val="00044B9F"/>
    <w:rsid w:val="0004500B"/>
    <w:rsid w:val="00045082"/>
    <w:rsid w:val="000452C5"/>
    <w:rsid w:val="00045950"/>
    <w:rsid w:val="00045A29"/>
    <w:rsid w:val="00045D9D"/>
    <w:rsid w:val="00045E53"/>
    <w:rsid w:val="00045FDF"/>
    <w:rsid w:val="00046048"/>
    <w:rsid w:val="00046387"/>
    <w:rsid w:val="000465BF"/>
    <w:rsid w:val="00046758"/>
    <w:rsid w:val="00046AAF"/>
    <w:rsid w:val="0004716E"/>
    <w:rsid w:val="000471AC"/>
    <w:rsid w:val="00047A20"/>
    <w:rsid w:val="00047A54"/>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C44"/>
    <w:rsid w:val="00053E9E"/>
    <w:rsid w:val="0005465A"/>
    <w:rsid w:val="00055006"/>
    <w:rsid w:val="000551AD"/>
    <w:rsid w:val="00055B54"/>
    <w:rsid w:val="00056544"/>
    <w:rsid w:val="000569CE"/>
    <w:rsid w:val="00056C39"/>
    <w:rsid w:val="00057157"/>
    <w:rsid w:val="000571F7"/>
    <w:rsid w:val="00057677"/>
    <w:rsid w:val="000576E5"/>
    <w:rsid w:val="000578EA"/>
    <w:rsid w:val="00060396"/>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50"/>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3EE"/>
    <w:rsid w:val="00080592"/>
    <w:rsid w:val="000808A6"/>
    <w:rsid w:val="00080F6F"/>
    <w:rsid w:val="00081521"/>
    <w:rsid w:val="00081AF1"/>
    <w:rsid w:val="00081B22"/>
    <w:rsid w:val="00081C3A"/>
    <w:rsid w:val="000821FF"/>
    <w:rsid w:val="00082B7E"/>
    <w:rsid w:val="00083172"/>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575"/>
    <w:rsid w:val="00091F15"/>
    <w:rsid w:val="00092716"/>
    <w:rsid w:val="00092EE2"/>
    <w:rsid w:val="0009343C"/>
    <w:rsid w:val="00093695"/>
    <w:rsid w:val="0009370B"/>
    <w:rsid w:val="00093DEF"/>
    <w:rsid w:val="000955A2"/>
    <w:rsid w:val="00095803"/>
    <w:rsid w:val="000962CB"/>
    <w:rsid w:val="000965C5"/>
    <w:rsid w:val="00096832"/>
    <w:rsid w:val="00097065"/>
    <w:rsid w:val="00097549"/>
    <w:rsid w:val="00097642"/>
    <w:rsid w:val="000978ED"/>
    <w:rsid w:val="0009795B"/>
    <w:rsid w:val="00097966"/>
    <w:rsid w:val="00097B22"/>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3ED"/>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12"/>
    <w:rsid w:val="000C328C"/>
    <w:rsid w:val="000C333F"/>
    <w:rsid w:val="000C395F"/>
    <w:rsid w:val="000C3BA5"/>
    <w:rsid w:val="000C3DC5"/>
    <w:rsid w:val="000C4DE9"/>
    <w:rsid w:val="000C513B"/>
    <w:rsid w:val="000C51E2"/>
    <w:rsid w:val="000C5555"/>
    <w:rsid w:val="000C55B8"/>
    <w:rsid w:val="000C590F"/>
    <w:rsid w:val="000C5A67"/>
    <w:rsid w:val="000C64BB"/>
    <w:rsid w:val="000C64C3"/>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8E1"/>
    <w:rsid w:val="000D1BCF"/>
    <w:rsid w:val="000D2659"/>
    <w:rsid w:val="000D296A"/>
    <w:rsid w:val="000D2B90"/>
    <w:rsid w:val="000D3479"/>
    <w:rsid w:val="000D3912"/>
    <w:rsid w:val="000D3AC1"/>
    <w:rsid w:val="000D5221"/>
    <w:rsid w:val="000D54FF"/>
    <w:rsid w:val="000D59E5"/>
    <w:rsid w:val="000D6373"/>
    <w:rsid w:val="000D64A3"/>
    <w:rsid w:val="000D681A"/>
    <w:rsid w:val="000D79AC"/>
    <w:rsid w:val="000D7E20"/>
    <w:rsid w:val="000D7F98"/>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D16"/>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0DEF"/>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1E3"/>
    <w:rsid w:val="001228AF"/>
    <w:rsid w:val="00122B47"/>
    <w:rsid w:val="00123099"/>
    <w:rsid w:val="001244EB"/>
    <w:rsid w:val="001245E0"/>
    <w:rsid w:val="001246D6"/>
    <w:rsid w:val="0012482E"/>
    <w:rsid w:val="001252C5"/>
    <w:rsid w:val="001252F0"/>
    <w:rsid w:val="00125309"/>
    <w:rsid w:val="0012565D"/>
    <w:rsid w:val="00125AAA"/>
    <w:rsid w:val="00125D68"/>
    <w:rsid w:val="00125E2D"/>
    <w:rsid w:val="001261CF"/>
    <w:rsid w:val="001265DC"/>
    <w:rsid w:val="00126931"/>
    <w:rsid w:val="00127252"/>
    <w:rsid w:val="001273A9"/>
    <w:rsid w:val="001276B0"/>
    <w:rsid w:val="00127A0A"/>
    <w:rsid w:val="00127A36"/>
    <w:rsid w:val="00127D01"/>
    <w:rsid w:val="00130026"/>
    <w:rsid w:val="001308F2"/>
    <w:rsid w:val="00130B0E"/>
    <w:rsid w:val="00131482"/>
    <w:rsid w:val="00131550"/>
    <w:rsid w:val="0013183A"/>
    <w:rsid w:val="00131C8F"/>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786"/>
    <w:rsid w:val="0014294C"/>
    <w:rsid w:val="001433DD"/>
    <w:rsid w:val="00143533"/>
    <w:rsid w:val="0014399E"/>
    <w:rsid w:val="00143A10"/>
    <w:rsid w:val="00144999"/>
    <w:rsid w:val="00144B9F"/>
    <w:rsid w:val="001451B1"/>
    <w:rsid w:val="00145478"/>
    <w:rsid w:val="00145495"/>
    <w:rsid w:val="00145666"/>
    <w:rsid w:val="00145AE5"/>
    <w:rsid w:val="00145E46"/>
    <w:rsid w:val="001463DE"/>
    <w:rsid w:val="00146A8E"/>
    <w:rsid w:val="00146BB4"/>
    <w:rsid w:val="00146EC3"/>
    <w:rsid w:val="001477AF"/>
    <w:rsid w:val="0015087F"/>
    <w:rsid w:val="00150DC4"/>
    <w:rsid w:val="00151039"/>
    <w:rsid w:val="0015103B"/>
    <w:rsid w:val="00151870"/>
    <w:rsid w:val="00151D60"/>
    <w:rsid w:val="0015216A"/>
    <w:rsid w:val="0015297F"/>
    <w:rsid w:val="00153548"/>
    <w:rsid w:val="00153DF5"/>
    <w:rsid w:val="0015409C"/>
    <w:rsid w:val="001540A1"/>
    <w:rsid w:val="001548DB"/>
    <w:rsid w:val="00155040"/>
    <w:rsid w:val="001553CC"/>
    <w:rsid w:val="001553CD"/>
    <w:rsid w:val="001557B5"/>
    <w:rsid w:val="00155F41"/>
    <w:rsid w:val="0015634A"/>
    <w:rsid w:val="00156435"/>
    <w:rsid w:val="0015643D"/>
    <w:rsid w:val="0015692F"/>
    <w:rsid w:val="0015694D"/>
    <w:rsid w:val="00156CB0"/>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36E6"/>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A5D"/>
    <w:rsid w:val="00184C12"/>
    <w:rsid w:val="00184C73"/>
    <w:rsid w:val="00184F97"/>
    <w:rsid w:val="001850B7"/>
    <w:rsid w:val="001850E5"/>
    <w:rsid w:val="00185284"/>
    <w:rsid w:val="0018571A"/>
    <w:rsid w:val="0018578F"/>
    <w:rsid w:val="00185A0A"/>
    <w:rsid w:val="00186AD6"/>
    <w:rsid w:val="00186D2E"/>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BC9"/>
    <w:rsid w:val="001B0F45"/>
    <w:rsid w:val="001B1089"/>
    <w:rsid w:val="001B126E"/>
    <w:rsid w:val="001B128B"/>
    <w:rsid w:val="001B192A"/>
    <w:rsid w:val="001B1D2E"/>
    <w:rsid w:val="001B1E73"/>
    <w:rsid w:val="001B2446"/>
    <w:rsid w:val="001B36AA"/>
    <w:rsid w:val="001B3902"/>
    <w:rsid w:val="001B3994"/>
    <w:rsid w:val="001B42B2"/>
    <w:rsid w:val="001B4D82"/>
    <w:rsid w:val="001B5024"/>
    <w:rsid w:val="001B52F9"/>
    <w:rsid w:val="001B55B0"/>
    <w:rsid w:val="001B72DA"/>
    <w:rsid w:val="001B7AA5"/>
    <w:rsid w:val="001C0017"/>
    <w:rsid w:val="001C016A"/>
    <w:rsid w:val="001C0284"/>
    <w:rsid w:val="001C04DD"/>
    <w:rsid w:val="001C04EF"/>
    <w:rsid w:val="001C0504"/>
    <w:rsid w:val="001C0DEB"/>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8C9"/>
    <w:rsid w:val="001C5DF9"/>
    <w:rsid w:val="001C5E7D"/>
    <w:rsid w:val="001C5FCE"/>
    <w:rsid w:val="001C60A5"/>
    <w:rsid w:val="001C638B"/>
    <w:rsid w:val="001C6A2E"/>
    <w:rsid w:val="001C74BC"/>
    <w:rsid w:val="001C7FC4"/>
    <w:rsid w:val="001D0567"/>
    <w:rsid w:val="001D0729"/>
    <w:rsid w:val="001D0867"/>
    <w:rsid w:val="001D0AEE"/>
    <w:rsid w:val="001D10EA"/>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36"/>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26B"/>
    <w:rsid w:val="002054B1"/>
    <w:rsid w:val="00205750"/>
    <w:rsid w:val="002058C7"/>
    <w:rsid w:val="00205DC1"/>
    <w:rsid w:val="00206ACD"/>
    <w:rsid w:val="00206E92"/>
    <w:rsid w:val="0021063F"/>
    <w:rsid w:val="00210B54"/>
    <w:rsid w:val="00210C04"/>
    <w:rsid w:val="002113D4"/>
    <w:rsid w:val="00211C93"/>
    <w:rsid w:val="00212BCC"/>
    <w:rsid w:val="00212C98"/>
    <w:rsid w:val="00212D47"/>
    <w:rsid w:val="00212DAD"/>
    <w:rsid w:val="002133F4"/>
    <w:rsid w:val="0021369D"/>
    <w:rsid w:val="002149AF"/>
    <w:rsid w:val="0021528B"/>
    <w:rsid w:val="002156F9"/>
    <w:rsid w:val="00215950"/>
    <w:rsid w:val="00215DAC"/>
    <w:rsid w:val="0021647D"/>
    <w:rsid w:val="0021678E"/>
    <w:rsid w:val="002168B5"/>
    <w:rsid w:val="002171DE"/>
    <w:rsid w:val="00217DC0"/>
    <w:rsid w:val="0022012E"/>
    <w:rsid w:val="002201D9"/>
    <w:rsid w:val="0022027F"/>
    <w:rsid w:val="002202AD"/>
    <w:rsid w:val="002202C7"/>
    <w:rsid w:val="002203C4"/>
    <w:rsid w:val="002208A0"/>
    <w:rsid w:val="00220C7C"/>
    <w:rsid w:val="00221C1B"/>
    <w:rsid w:val="00221FC6"/>
    <w:rsid w:val="00221FF3"/>
    <w:rsid w:val="002224AF"/>
    <w:rsid w:val="0022251B"/>
    <w:rsid w:val="00222A7A"/>
    <w:rsid w:val="00222CCB"/>
    <w:rsid w:val="00222DF8"/>
    <w:rsid w:val="00223095"/>
    <w:rsid w:val="00223189"/>
    <w:rsid w:val="00223E6F"/>
    <w:rsid w:val="0022407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7EA"/>
    <w:rsid w:val="00256D93"/>
    <w:rsid w:val="0025734E"/>
    <w:rsid w:val="00257578"/>
    <w:rsid w:val="00257680"/>
    <w:rsid w:val="0025771D"/>
    <w:rsid w:val="0025784E"/>
    <w:rsid w:val="00257968"/>
    <w:rsid w:val="00260296"/>
    <w:rsid w:val="0026037B"/>
    <w:rsid w:val="00260554"/>
    <w:rsid w:val="00261C68"/>
    <w:rsid w:val="00261E32"/>
    <w:rsid w:val="002628FC"/>
    <w:rsid w:val="00262C06"/>
    <w:rsid w:val="00262F4B"/>
    <w:rsid w:val="00262FE4"/>
    <w:rsid w:val="0026381F"/>
    <w:rsid w:val="002648D4"/>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83A"/>
    <w:rsid w:val="00273F1A"/>
    <w:rsid w:val="002740C4"/>
    <w:rsid w:val="002742F1"/>
    <w:rsid w:val="00274E59"/>
    <w:rsid w:val="0027580B"/>
    <w:rsid w:val="00275CE5"/>
    <w:rsid w:val="00275E95"/>
    <w:rsid w:val="00275FDF"/>
    <w:rsid w:val="00275FEA"/>
    <w:rsid w:val="002763CF"/>
    <w:rsid w:val="002767F4"/>
    <w:rsid w:val="00276BF0"/>
    <w:rsid w:val="00277C29"/>
    <w:rsid w:val="00280062"/>
    <w:rsid w:val="00280380"/>
    <w:rsid w:val="0028072A"/>
    <w:rsid w:val="00280AE3"/>
    <w:rsid w:val="00280E31"/>
    <w:rsid w:val="00281B7E"/>
    <w:rsid w:val="002827C1"/>
    <w:rsid w:val="00282EB8"/>
    <w:rsid w:val="0028334D"/>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3FA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869"/>
    <w:rsid w:val="002B2B2C"/>
    <w:rsid w:val="002B2B53"/>
    <w:rsid w:val="002B347C"/>
    <w:rsid w:val="002B3642"/>
    <w:rsid w:val="002B368D"/>
    <w:rsid w:val="002B3ECB"/>
    <w:rsid w:val="002B4073"/>
    <w:rsid w:val="002B4302"/>
    <w:rsid w:val="002B4F20"/>
    <w:rsid w:val="002B5555"/>
    <w:rsid w:val="002B59DE"/>
    <w:rsid w:val="002B5E4B"/>
    <w:rsid w:val="002B6194"/>
    <w:rsid w:val="002B6546"/>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4796"/>
    <w:rsid w:val="002C541C"/>
    <w:rsid w:val="002C587F"/>
    <w:rsid w:val="002C58DA"/>
    <w:rsid w:val="002C5A0A"/>
    <w:rsid w:val="002C674A"/>
    <w:rsid w:val="002C6DD4"/>
    <w:rsid w:val="002D0792"/>
    <w:rsid w:val="002D0B96"/>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3EDF"/>
    <w:rsid w:val="003040C1"/>
    <w:rsid w:val="0030412A"/>
    <w:rsid w:val="00304518"/>
    <w:rsid w:val="003048D7"/>
    <w:rsid w:val="003056C7"/>
    <w:rsid w:val="00305929"/>
    <w:rsid w:val="00306093"/>
    <w:rsid w:val="0030649F"/>
    <w:rsid w:val="00306A13"/>
    <w:rsid w:val="00306D33"/>
    <w:rsid w:val="00306F46"/>
    <w:rsid w:val="003070B3"/>
    <w:rsid w:val="003071F6"/>
    <w:rsid w:val="00310794"/>
    <w:rsid w:val="00310AA8"/>
    <w:rsid w:val="00311290"/>
    <w:rsid w:val="003116E8"/>
    <w:rsid w:val="00311C3D"/>
    <w:rsid w:val="00311CEC"/>
    <w:rsid w:val="00311D0C"/>
    <w:rsid w:val="00311EFF"/>
    <w:rsid w:val="0031252F"/>
    <w:rsid w:val="00313CB0"/>
    <w:rsid w:val="00313F4F"/>
    <w:rsid w:val="00313F96"/>
    <w:rsid w:val="003141D9"/>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0D0"/>
    <w:rsid w:val="00331BF9"/>
    <w:rsid w:val="00331C6A"/>
    <w:rsid w:val="00331DE0"/>
    <w:rsid w:val="00332BA5"/>
    <w:rsid w:val="00332E66"/>
    <w:rsid w:val="0033341F"/>
    <w:rsid w:val="003339CA"/>
    <w:rsid w:val="00333E46"/>
    <w:rsid w:val="00333F52"/>
    <w:rsid w:val="003345D0"/>
    <w:rsid w:val="00334FCF"/>
    <w:rsid w:val="0033519A"/>
    <w:rsid w:val="00335642"/>
    <w:rsid w:val="003358B2"/>
    <w:rsid w:val="00335C91"/>
    <w:rsid w:val="00335E4C"/>
    <w:rsid w:val="00336AB7"/>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BD"/>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975"/>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1A6"/>
    <w:rsid w:val="0036294F"/>
    <w:rsid w:val="00362D1E"/>
    <w:rsid w:val="003634B8"/>
    <w:rsid w:val="003642A6"/>
    <w:rsid w:val="003644D5"/>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850"/>
    <w:rsid w:val="00374D14"/>
    <w:rsid w:val="003750B6"/>
    <w:rsid w:val="00375465"/>
    <w:rsid w:val="003761FE"/>
    <w:rsid w:val="003766EB"/>
    <w:rsid w:val="00376858"/>
    <w:rsid w:val="00376E32"/>
    <w:rsid w:val="0037751C"/>
    <w:rsid w:val="003775A0"/>
    <w:rsid w:val="0037763E"/>
    <w:rsid w:val="00380076"/>
    <w:rsid w:val="00381364"/>
    <w:rsid w:val="00382117"/>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0A6"/>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554"/>
    <w:rsid w:val="003B2D1E"/>
    <w:rsid w:val="003B2EAB"/>
    <w:rsid w:val="003B2EC6"/>
    <w:rsid w:val="003B37EC"/>
    <w:rsid w:val="003B3C82"/>
    <w:rsid w:val="003B3F09"/>
    <w:rsid w:val="003B4F7B"/>
    <w:rsid w:val="003B50D7"/>
    <w:rsid w:val="003B6070"/>
    <w:rsid w:val="003B6E94"/>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64E"/>
    <w:rsid w:val="003C6021"/>
    <w:rsid w:val="003C6201"/>
    <w:rsid w:val="003C65E3"/>
    <w:rsid w:val="003C6E9B"/>
    <w:rsid w:val="003C71BD"/>
    <w:rsid w:val="003C7263"/>
    <w:rsid w:val="003C7848"/>
    <w:rsid w:val="003C7967"/>
    <w:rsid w:val="003C7A2B"/>
    <w:rsid w:val="003C7E14"/>
    <w:rsid w:val="003C7F2E"/>
    <w:rsid w:val="003D004C"/>
    <w:rsid w:val="003D0416"/>
    <w:rsid w:val="003D0704"/>
    <w:rsid w:val="003D115D"/>
    <w:rsid w:val="003D1597"/>
    <w:rsid w:val="003D2270"/>
    <w:rsid w:val="003D2427"/>
    <w:rsid w:val="003D24D5"/>
    <w:rsid w:val="003D3E60"/>
    <w:rsid w:val="003D3ECC"/>
    <w:rsid w:val="003D402B"/>
    <w:rsid w:val="003D4A58"/>
    <w:rsid w:val="003D50F8"/>
    <w:rsid w:val="003D6589"/>
    <w:rsid w:val="003D6726"/>
    <w:rsid w:val="003D6A5A"/>
    <w:rsid w:val="003D7EFC"/>
    <w:rsid w:val="003E0196"/>
    <w:rsid w:val="003E01BD"/>
    <w:rsid w:val="003E031C"/>
    <w:rsid w:val="003E03BA"/>
    <w:rsid w:val="003E051E"/>
    <w:rsid w:val="003E0C15"/>
    <w:rsid w:val="003E1746"/>
    <w:rsid w:val="003E1EDA"/>
    <w:rsid w:val="003E2175"/>
    <w:rsid w:val="003E2699"/>
    <w:rsid w:val="003E28FD"/>
    <w:rsid w:val="003E3CD8"/>
    <w:rsid w:val="003E3D71"/>
    <w:rsid w:val="003E4392"/>
    <w:rsid w:val="003E4775"/>
    <w:rsid w:val="003E4AC4"/>
    <w:rsid w:val="003E4B92"/>
    <w:rsid w:val="003E4F61"/>
    <w:rsid w:val="003E5B5A"/>
    <w:rsid w:val="003E5C90"/>
    <w:rsid w:val="003E6A3A"/>
    <w:rsid w:val="003E6FCA"/>
    <w:rsid w:val="003E708A"/>
    <w:rsid w:val="003E7266"/>
    <w:rsid w:val="003E763C"/>
    <w:rsid w:val="003E7B9B"/>
    <w:rsid w:val="003F032D"/>
    <w:rsid w:val="003F1086"/>
    <w:rsid w:val="003F14C2"/>
    <w:rsid w:val="003F15C1"/>
    <w:rsid w:val="003F16BE"/>
    <w:rsid w:val="003F1887"/>
    <w:rsid w:val="003F18DE"/>
    <w:rsid w:val="003F2351"/>
    <w:rsid w:val="003F237C"/>
    <w:rsid w:val="003F2578"/>
    <w:rsid w:val="003F259B"/>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69B"/>
    <w:rsid w:val="00404A0B"/>
    <w:rsid w:val="004050BE"/>
    <w:rsid w:val="004062E5"/>
    <w:rsid w:val="0040633F"/>
    <w:rsid w:val="0040762A"/>
    <w:rsid w:val="00407C5A"/>
    <w:rsid w:val="00407D48"/>
    <w:rsid w:val="004104AA"/>
    <w:rsid w:val="00410C11"/>
    <w:rsid w:val="0041126E"/>
    <w:rsid w:val="004113E2"/>
    <w:rsid w:val="0041147C"/>
    <w:rsid w:val="004115F8"/>
    <w:rsid w:val="00411890"/>
    <w:rsid w:val="00411A58"/>
    <w:rsid w:val="00411D90"/>
    <w:rsid w:val="00412B1A"/>
    <w:rsid w:val="00413234"/>
    <w:rsid w:val="00413B09"/>
    <w:rsid w:val="00413C40"/>
    <w:rsid w:val="00414121"/>
    <w:rsid w:val="00414382"/>
    <w:rsid w:val="00414A15"/>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8D"/>
    <w:rsid w:val="004468D3"/>
    <w:rsid w:val="00446A4F"/>
    <w:rsid w:val="00446F13"/>
    <w:rsid w:val="00447184"/>
    <w:rsid w:val="00451898"/>
    <w:rsid w:val="00452619"/>
    <w:rsid w:val="004527B8"/>
    <w:rsid w:val="00452CAD"/>
    <w:rsid w:val="00453341"/>
    <w:rsid w:val="0045355E"/>
    <w:rsid w:val="00453857"/>
    <w:rsid w:val="004546B4"/>
    <w:rsid w:val="00454BE7"/>
    <w:rsid w:val="00455D8B"/>
    <w:rsid w:val="00455D9D"/>
    <w:rsid w:val="00455DC7"/>
    <w:rsid w:val="00455DDC"/>
    <w:rsid w:val="00455E3E"/>
    <w:rsid w:val="004567B7"/>
    <w:rsid w:val="004567E2"/>
    <w:rsid w:val="00456B90"/>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1CB"/>
    <w:rsid w:val="00464B36"/>
    <w:rsid w:val="00464C8F"/>
    <w:rsid w:val="00464E02"/>
    <w:rsid w:val="00465CF8"/>
    <w:rsid w:val="00466061"/>
    <w:rsid w:val="004664E6"/>
    <w:rsid w:val="00466676"/>
    <w:rsid w:val="004667C9"/>
    <w:rsid w:val="00466CFC"/>
    <w:rsid w:val="0046728D"/>
    <w:rsid w:val="00467D8D"/>
    <w:rsid w:val="00467DDD"/>
    <w:rsid w:val="00467FA0"/>
    <w:rsid w:val="004701D9"/>
    <w:rsid w:val="004702B9"/>
    <w:rsid w:val="0047088D"/>
    <w:rsid w:val="004708FE"/>
    <w:rsid w:val="0047123A"/>
    <w:rsid w:val="004712F4"/>
    <w:rsid w:val="004715A3"/>
    <w:rsid w:val="004715C9"/>
    <w:rsid w:val="00471617"/>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718"/>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9722E"/>
    <w:rsid w:val="004A01BA"/>
    <w:rsid w:val="004A0584"/>
    <w:rsid w:val="004A0A7C"/>
    <w:rsid w:val="004A0E2B"/>
    <w:rsid w:val="004A0F4A"/>
    <w:rsid w:val="004A1A55"/>
    <w:rsid w:val="004A26A8"/>
    <w:rsid w:val="004A2845"/>
    <w:rsid w:val="004A2A08"/>
    <w:rsid w:val="004A33A1"/>
    <w:rsid w:val="004A37BA"/>
    <w:rsid w:val="004A3810"/>
    <w:rsid w:val="004A4AC0"/>
    <w:rsid w:val="004A4AE5"/>
    <w:rsid w:val="004A4F72"/>
    <w:rsid w:val="004A5122"/>
    <w:rsid w:val="004A58CC"/>
    <w:rsid w:val="004A5BD3"/>
    <w:rsid w:val="004A619F"/>
    <w:rsid w:val="004A63B7"/>
    <w:rsid w:val="004A656A"/>
    <w:rsid w:val="004A6801"/>
    <w:rsid w:val="004A6EA7"/>
    <w:rsid w:val="004A720A"/>
    <w:rsid w:val="004A7241"/>
    <w:rsid w:val="004A7F04"/>
    <w:rsid w:val="004B07AE"/>
    <w:rsid w:val="004B07B8"/>
    <w:rsid w:val="004B091A"/>
    <w:rsid w:val="004B0926"/>
    <w:rsid w:val="004B108B"/>
    <w:rsid w:val="004B15E1"/>
    <w:rsid w:val="004B17B6"/>
    <w:rsid w:val="004B1A8D"/>
    <w:rsid w:val="004B29F0"/>
    <w:rsid w:val="004B2B4F"/>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4B7"/>
    <w:rsid w:val="004C591B"/>
    <w:rsid w:val="004C6389"/>
    <w:rsid w:val="004C6431"/>
    <w:rsid w:val="004C6867"/>
    <w:rsid w:val="004C6956"/>
    <w:rsid w:val="004C69DD"/>
    <w:rsid w:val="004C795A"/>
    <w:rsid w:val="004D03D8"/>
    <w:rsid w:val="004D044A"/>
    <w:rsid w:val="004D1A4C"/>
    <w:rsid w:val="004D1EFC"/>
    <w:rsid w:val="004D23CF"/>
    <w:rsid w:val="004D2717"/>
    <w:rsid w:val="004D29C0"/>
    <w:rsid w:val="004D30AE"/>
    <w:rsid w:val="004D35BA"/>
    <w:rsid w:val="004D3B8D"/>
    <w:rsid w:val="004D3FA6"/>
    <w:rsid w:val="004D4254"/>
    <w:rsid w:val="004D42BE"/>
    <w:rsid w:val="004D4614"/>
    <w:rsid w:val="004D505B"/>
    <w:rsid w:val="004D53EF"/>
    <w:rsid w:val="004D5567"/>
    <w:rsid w:val="004D588A"/>
    <w:rsid w:val="004D5D00"/>
    <w:rsid w:val="004D616E"/>
    <w:rsid w:val="004D6264"/>
    <w:rsid w:val="004D690F"/>
    <w:rsid w:val="004D6C51"/>
    <w:rsid w:val="004D72B5"/>
    <w:rsid w:val="004D7DCC"/>
    <w:rsid w:val="004D7E05"/>
    <w:rsid w:val="004E04DB"/>
    <w:rsid w:val="004E07BB"/>
    <w:rsid w:val="004E0F2A"/>
    <w:rsid w:val="004E1230"/>
    <w:rsid w:val="004E12E9"/>
    <w:rsid w:val="004E1715"/>
    <w:rsid w:val="004E1C2C"/>
    <w:rsid w:val="004E1D09"/>
    <w:rsid w:val="004E204C"/>
    <w:rsid w:val="004E2638"/>
    <w:rsid w:val="004E2AC9"/>
    <w:rsid w:val="004E2B20"/>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082"/>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8F2"/>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72C"/>
    <w:rsid w:val="00514B37"/>
    <w:rsid w:val="00514C79"/>
    <w:rsid w:val="00514FD0"/>
    <w:rsid w:val="005160A0"/>
    <w:rsid w:val="005163EA"/>
    <w:rsid w:val="00516739"/>
    <w:rsid w:val="00516928"/>
    <w:rsid w:val="00516CD7"/>
    <w:rsid w:val="00516ED5"/>
    <w:rsid w:val="00516FD9"/>
    <w:rsid w:val="00517548"/>
    <w:rsid w:val="00517AED"/>
    <w:rsid w:val="005206FA"/>
    <w:rsid w:val="00520B6D"/>
    <w:rsid w:val="00520E12"/>
    <w:rsid w:val="00521FE7"/>
    <w:rsid w:val="00522281"/>
    <w:rsid w:val="005231EE"/>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7F0"/>
    <w:rsid w:val="00532B5D"/>
    <w:rsid w:val="00533AC2"/>
    <w:rsid w:val="0053417E"/>
    <w:rsid w:val="005342D7"/>
    <w:rsid w:val="0053485E"/>
    <w:rsid w:val="00534E4C"/>
    <w:rsid w:val="0053541F"/>
    <w:rsid w:val="00535467"/>
    <w:rsid w:val="00535E21"/>
    <w:rsid w:val="00536C28"/>
    <w:rsid w:val="00536C51"/>
    <w:rsid w:val="00536D20"/>
    <w:rsid w:val="00536E21"/>
    <w:rsid w:val="005372B5"/>
    <w:rsid w:val="005372C0"/>
    <w:rsid w:val="00537437"/>
    <w:rsid w:val="0053743E"/>
    <w:rsid w:val="0053758A"/>
    <w:rsid w:val="00537CBB"/>
    <w:rsid w:val="00540A6F"/>
    <w:rsid w:val="00540B1A"/>
    <w:rsid w:val="005418FC"/>
    <w:rsid w:val="00541B9B"/>
    <w:rsid w:val="00541D37"/>
    <w:rsid w:val="00541E7A"/>
    <w:rsid w:val="00541FD4"/>
    <w:rsid w:val="005420AA"/>
    <w:rsid w:val="005421B4"/>
    <w:rsid w:val="005424D2"/>
    <w:rsid w:val="00542748"/>
    <w:rsid w:val="005428F3"/>
    <w:rsid w:val="005429A1"/>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55"/>
    <w:rsid w:val="005568F2"/>
    <w:rsid w:val="00556A4A"/>
    <w:rsid w:val="005571D2"/>
    <w:rsid w:val="0055798B"/>
    <w:rsid w:val="0056039D"/>
    <w:rsid w:val="005603B3"/>
    <w:rsid w:val="005603F1"/>
    <w:rsid w:val="00560F9E"/>
    <w:rsid w:val="00561270"/>
    <w:rsid w:val="00561D9E"/>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6BA0"/>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391C"/>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CFC"/>
    <w:rsid w:val="005B1FAA"/>
    <w:rsid w:val="005B212E"/>
    <w:rsid w:val="005B2177"/>
    <w:rsid w:val="005B21C9"/>
    <w:rsid w:val="005B2641"/>
    <w:rsid w:val="005B2A66"/>
    <w:rsid w:val="005B2BA2"/>
    <w:rsid w:val="005B3184"/>
    <w:rsid w:val="005B37D5"/>
    <w:rsid w:val="005B38A0"/>
    <w:rsid w:val="005B4494"/>
    <w:rsid w:val="005B44FE"/>
    <w:rsid w:val="005B4544"/>
    <w:rsid w:val="005B4CE1"/>
    <w:rsid w:val="005B4EA8"/>
    <w:rsid w:val="005B52F7"/>
    <w:rsid w:val="005B565D"/>
    <w:rsid w:val="005B5B64"/>
    <w:rsid w:val="005B68C7"/>
    <w:rsid w:val="005B6A20"/>
    <w:rsid w:val="005B7E2C"/>
    <w:rsid w:val="005B7EBF"/>
    <w:rsid w:val="005B7FF0"/>
    <w:rsid w:val="005C01E9"/>
    <w:rsid w:val="005C058D"/>
    <w:rsid w:val="005C09DD"/>
    <w:rsid w:val="005C0C54"/>
    <w:rsid w:val="005C0C60"/>
    <w:rsid w:val="005C0FF1"/>
    <w:rsid w:val="005C1872"/>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D7A2F"/>
    <w:rsid w:val="005D7D3A"/>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315"/>
    <w:rsid w:val="005F0524"/>
    <w:rsid w:val="005F087E"/>
    <w:rsid w:val="005F097F"/>
    <w:rsid w:val="005F09CC"/>
    <w:rsid w:val="005F1915"/>
    <w:rsid w:val="005F1999"/>
    <w:rsid w:val="005F1D72"/>
    <w:rsid w:val="005F1E81"/>
    <w:rsid w:val="005F26F8"/>
    <w:rsid w:val="005F352F"/>
    <w:rsid w:val="005F3BA1"/>
    <w:rsid w:val="005F4D88"/>
    <w:rsid w:val="005F5E7F"/>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3F"/>
    <w:rsid w:val="006050D0"/>
    <w:rsid w:val="00605481"/>
    <w:rsid w:val="006055B5"/>
    <w:rsid w:val="00605BB4"/>
    <w:rsid w:val="00605DEC"/>
    <w:rsid w:val="00606585"/>
    <w:rsid w:val="00606D2A"/>
    <w:rsid w:val="006076D5"/>
    <w:rsid w:val="00607707"/>
    <w:rsid w:val="0060780E"/>
    <w:rsid w:val="00607EC7"/>
    <w:rsid w:val="00607F32"/>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67E"/>
    <w:rsid w:val="00617C40"/>
    <w:rsid w:val="00617CA7"/>
    <w:rsid w:val="00617E64"/>
    <w:rsid w:val="00617F8F"/>
    <w:rsid w:val="00620133"/>
    <w:rsid w:val="00620813"/>
    <w:rsid w:val="00620D6A"/>
    <w:rsid w:val="006211F2"/>
    <w:rsid w:val="00621324"/>
    <w:rsid w:val="00621A86"/>
    <w:rsid w:val="00621AE6"/>
    <w:rsid w:val="00621EFF"/>
    <w:rsid w:val="006225EE"/>
    <w:rsid w:val="0062286A"/>
    <w:rsid w:val="00622FF1"/>
    <w:rsid w:val="00624A13"/>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2DD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17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111"/>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A8C"/>
    <w:rsid w:val="00653F4E"/>
    <w:rsid w:val="006540E5"/>
    <w:rsid w:val="00654137"/>
    <w:rsid w:val="006542E4"/>
    <w:rsid w:val="0065480E"/>
    <w:rsid w:val="00654FD2"/>
    <w:rsid w:val="00655925"/>
    <w:rsid w:val="00655BA9"/>
    <w:rsid w:val="00655BE0"/>
    <w:rsid w:val="0065637E"/>
    <w:rsid w:val="0065746D"/>
    <w:rsid w:val="006574B9"/>
    <w:rsid w:val="00657605"/>
    <w:rsid w:val="00657853"/>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0D9D"/>
    <w:rsid w:val="006710D7"/>
    <w:rsid w:val="00671D03"/>
    <w:rsid w:val="00672186"/>
    <w:rsid w:val="00672748"/>
    <w:rsid w:val="00672CF4"/>
    <w:rsid w:val="00672DF8"/>
    <w:rsid w:val="0067312F"/>
    <w:rsid w:val="006736DF"/>
    <w:rsid w:val="00673E4F"/>
    <w:rsid w:val="006743C6"/>
    <w:rsid w:val="0067450A"/>
    <w:rsid w:val="006747A8"/>
    <w:rsid w:val="00674959"/>
    <w:rsid w:val="00674D88"/>
    <w:rsid w:val="00674F44"/>
    <w:rsid w:val="00675D57"/>
    <w:rsid w:val="006763D9"/>
    <w:rsid w:val="006768BD"/>
    <w:rsid w:val="00676BF6"/>
    <w:rsid w:val="00676DED"/>
    <w:rsid w:val="006771ED"/>
    <w:rsid w:val="00677925"/>
    <w:rsid w:val="006803A1"/>
    <w:rsid w:val="00681437"/>
    <w:rsid w:val="00681C67"/>
    <w:rsid w:val="00681E96"/>
    <w:rsid w:val="006828EC"/>
    <w:rsid w:val="00683F98"/>
    <w:rsid w:val="00684C0A"/>
    <w:rsid w:val="00684C87"/>
    <w:rsid w:val="0068559B"/>
    <w:rsid w:val="0068559E"/>
    <w:rsid w:val="00685659"/>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1B4"/>
    <w:rsid w:val="006952C1"/>
    <w:rsid w:val="006959D2"/>
    <w:rsid w:val="00696159"/>
    <w:rsid w:val="00696449"/>
    <w:rsid w:val="00696FC4"/>
    <w:rsid w:val="00697048"/>
    <w:rsid w:val="006971A8"/>
    <w:rsid w:val="00697470"/>
    <w:rsid w:val="006A10EC"/>
    <w:rsid w:val="006A11FB"/>
    <w:rsid w:val="006A151B"/>
    <w:rsid w:val="006A1560"/>
    <w:rsid w:val="006A1D63"/>
    <w:rsid w:val="006A212F"/>
    <w:rsid w:val="006A2305"/>
    <w:rsid w:val="006A2698"/>
    <w:rsid w:val="006A2B35"/>
    <w:rsid w:val="006A35C7"/>
    <w:rsid w:val="006A37EF"/>
    <w:rsid w:val="006A3EB1"/>
    <w:rsid w:val="006A3ECE"/>
    <w:rsid w:val="006A49F9"/>
    <w:rsid w:val="006A4B16"/>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39D"/>
    <w:rsid w:val="006B6751"/>
    <w:rsid w:val="006B71DD"/>
    <w:rsid w:val="006B7311"/>
    <w:rsid w:val="006C0BFB"/>
    <w:rsid w:val="006C1499"/>
    <w:rsid w:val="006C16ED"/>
    <w:rsid w:val="006C181A"/>
    <w:rsid w:val="006C1EBB"/>
    <w:rsid w:val="006C2040"/>
    <w:rsid w:val="006C3587"/>
    <w:rsid w:val="006C4A5D"/>
    <w:rsid w:val="006C4E65"/>
    <w:rsid w:val="006C545A"/>
    <w:rsid w:val="006C567D"/>
    <w:rsid w:val="006C5E8E"/>
    <w:rsid w:val="006C5F76"/>
    <w:rsid w:val="006C63AF"/>
    <w:rsid w:val="006C6644"/>
    <w:rsid w:val="006C71E7"/>
    <w:rsid w:val="006C7536"/>
    <w:rsid w:val="006C75B5"/>
    <w:rsid w:val="006C787D"/>
    <w:rsid w:val="006C7A0C"/>
    <w:rsid w:val="006D0074"/>
    <w:rsid w:val="006D0241"/>
    <w:rsid w:val="006D0339"/>
    <w:rsid w:val="006D04F1"/>
    <w:rsid w:val="006D09C4"/>
    <w:rsid w:val="006D10FD"/>
    <w:rsid w:val="006D1139"/>
    <w:rsid w:val="006D1E86"/>
    <w:rsid w:val="006D2176"/>
    <w:rsid w:val="006D270C"/>
    <w:rsid w:val="006D2748"/>
    <w:rsid w:val="006D2AE8"/>
    <w:rsid w:val="006D362B"/>
    <w:rsid w:val="006D3A5B"/>
    <w:rsid w:val="006D3A8C"/>
    <w:rsid w:val="006D436E"/>
    <w:rsid w:val="006D447C"/>
    <w:rsid w:val="006D5632"/>
    <w:rsid w:val="006D5A18"/>
    <w:rsid w:val="006D5A70"/>
    <w:rsid w:val="006D5AAD"/>
    <w:rsid w:val="006D64C5"/>
    <w:rsid w:val="006D6612"/>
    <w:rsid w:val="006D6A81"/>
    <w:rsid w:val="006D6EF0"/>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05"/>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498"/>
    <w:rsid w:val="006F3C52"/>
    <w:rsid w:val="006F3EF5"/>
    <w:rsid w:val="006F584D"/>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BAE"/>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6AC"/>
    <w:rsid w:val="00722EAD"/>
    <w:rsid w:val="00723B3A"/>
    <w:rsid w:val="0072442F"/>
    <w:rsid w:val="007246C5"/>
    <w:rsid w:val="00724A69"/>
    <w:rsid w:val="00724C4E"/>
    <w:rsid w:val="007250B5"/>
    <w:rsid w:val="007253FE"/>
    <w:rsid w:val="007254A8"/>
    <w:rsid w:val="00725CFB"/>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CD6"/>
    <w:rsid w:val="00733E2A"/>
    <w:rsid w:val="007348B9"/>
    <w:rsid w:val="00734952"/>
    <w:rsid w:val="00735ED6"/>
    <w:rsid w:val="007366FE"/>
    <w:rsid w:val="00736B14"/>
    <w:rsid w:val="00736BF5"/>
    <w:rsid w:val="0073782A"/>
    <w:rsid w:val="00737EBC"/>
    <w:rsid w:val="00737F48"/>
    <w:rsid w:val="0074002A"/>
    <w:rsid w:val="00740A5E"/>
    <w:rsid w:val="00740E78"/>
    <w:rsid w:val="007410AA"/>
    <w:rsid w:val="00741D42"/>
    <w:rsid w:val="0074277F"/>
    <w:rsid w:val="0074287A"/>
    <w:rsid w:val="00743084"/>
    <w:rsid w:val="00743836"/>
    <w:rsid w:val="00743E06"/>
    <w:rsid w:val="0074433B"/>
    <w:rsid w:val="00744B83"/>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3AE7"/>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542"/>
    <w:rsid w:val="00757BAB"/>
    <w:rsid w:val="00760236"/>
    <w:rsid w:val="00760836"/>
    <w:rsid w:val="00760CE0"/>
    <w:rsid w:val="00760F40"/>
    <w:rsid w:val="00761069"/>
    <w:rsid w:val="007613C0"/>
    <w:rsid w:val="007614B4"/>
    <w:rsid w:val="0076160A"/>
    <w:rsid w:val="00761880"/>
    <w:rsid w:val="00761FBF"/>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655"/>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AA4"/>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166"/>
    <w:rsid w:val="007956E6"/>
    <w:rsid w:val="00795D3D"/>
    <w:rsid w:val="00796C73"/>
    <w:rsid w:val="00796ECB"/>
    <w:rsid w:val="00797189"/>
    <w:rsid w:val="00797540"/>
    <w:rsid w:val="0079786E"/>
    <w:rsid w:val="00797B90"/>
    <w:rsid w:val="00797F8F"/>
    <w:rsid w:val="007A096A"/>
    <w:rsid w:val="007A0A67"/>
    <w:rsid w:val="007A0C79"/>
    <w:rsid w:val="007A0DDE"/>
    <w:rsid w:val="007A0F43"/>
    <w:rsid w:val="007A109E"/>
    <w:rsid w:val="007A10E9"/>
    <w:rsid w:val="007A1609"/>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8E8"/>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4A72"/>
    <w:rsid w:val="007B56CF"/>
    <w:rsid w:val="007B5EBB"/>
    <w:rsid w:val="007B5F58"/>
    <w:rsid w:val="007B5FCC"/>
    <w:rsid w:val="007B626E"/>
    <w:rsid w:val="007B6473"/>
    <w:rsid w:val="007B66B4"/>
    <w:rsid w:val="007B6FBE"/>
    <w:rsid w:val="007B70A6"/>
    <w:rsid w:val="007B72B9"/>
    <w:rsid w:val="007B748E"/>
    <w:rsid w:val="007B7496"/>
    <w:rsid w:val="007B76C5"/>
    <w:rsid w:val="007B78AA"/>
    <w:rsid w:val="007B7F1D"/>
    <w:rsid w:val="007C0EC6"/>
    <w:rsid w:val="007C1555"/>
    <w:rsid w:val="007C15F1"/>
    <w:rsid w:val="007C25CE"/>
    <w:rsid w:val="007C2739"/>
    <w:rsid w:val="007C2E69"/>
    <w:rsid w:val="007C3133"/>
    <w:rsid w:val="007C3162"/>
    <w:rsid w:val="007C319B"/>
    <w:rsid w:val="007C330B"/>
    <w:rsid w:val="007C3550"/>
    <w:rsid w:val="007C37F1"/>
    <w:rsid w:val="007C39DC"/>
    <w:rsid w:val="007C421B"/>
    <w:rsid w:val="007C4DC4"/>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294"/>
    <w:rsid w:val="007D548D"/>
    <w:rsid w:val="007D59E5"/>
    <w:rsid w:val="007D5A32"/>
    <w:rsid w:val="007D5C25"/>
    <w:rsid w:val="007D5D3E"/>
    <w:rsid w:val="007D5D49"/>
    <w:rsid w:val="007D5E9E"/>
    <w:rsid w:val="007D69CD"/>
    <w:rsid w:val="007D711D"/>
    <w:rsid w:val="007D72D7"/>
    <w:rsid w:val="007D7791"/>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EB6"/>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131"/>
    <w:rsid w:val="007F1727"/>
    <w:rsid w:val="007F1C13"/>
    <w:rsid w:val="007F1CC4"/>
    <w:rsid w:val="007F1DF6"/>
    <w:rsid w:val="007F2BF5"/>
    <w:rsid w:val="007F338D"/>
    <w:rsid w:val="007F34A0"/>
    <w:rsid w:val="007F3D80"/>
    <w:rsid w:val="007F4077"/>
    <w:rsid w:val="007F4237"/>
    <w:rsid w:val="007F4EA5"/>
    <w:rsid w:val="007F543E"/>
    <w:rsid w:val="007F6E69"/>
    <w:rsid w:val="007F6FA9"/>
    <w:rsid w:val="007F716F"/>
    <w:rsid w:val="007F722D"/>
    <w:rsid w:val="007F77A2"/>
    <w:rsid w:val="007F7852"/>
    <w:rsid w:val="007F7C61"/>
    <w:rsid w:val="007F7C71"/>
    <w:rsid w:val="007F7FEB"/>
    <w:rsid w:val="008003F2"/>
    <w:rsid w:val="00800901"/>
    <w:rsid w:val="0080153E"/>
    <w:rsid w:val="00802240"/>
    <w:rsid w:val="00803223"/>
    <w:rsid w:val="00803329"/>
    <w:rsid w:val="00803657"/>
    <w:rsid w:val="00803F5F"/>
    <w:rsid w:val="00804351"/>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82"/>
    <w:rsid w:val="008149BD"/>
    <w:rsid w:val="00814A98"/>
    <w:rsid w:val="00815898"/>
    <w:rsid w:val="00815B7D"/>
    <w:rsid w:val="008160CD"/>
    <w:rsid w:val="008166A0"/>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71B"/>
    <w:rsid w:val="0082299E"/>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2ED"/>
    <w:rsid w:val="0084637D"/>
    <w:rsid w:val="00846F28"/>
    <w:rsid w:val="008470EF"/>
    <w:rsid w:val="008472B0"/>
    <w:rsid w:val="00847957"/>
    <w:rsid w:val="00847C25"/>
    <w:rsid w:val="00847D9F"/>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27E"/>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AFC"/>
    <w:rsid w:val="00867D86"/>
    <w:rsid w:val="0087021E"/>
    <w:rsid w:val="008704DA"/>
    <w:rsid w:val="00870726"/>
    <w:rsid w:val="00870D7D"/>
    <w:rsid w:val="00871199"/>
    <w:rsid w:val="008711CC"/>
    <w:rsid w:val="0087133C"/>
    <w:rsid w:val="008713C0"/>
    <w:rsid w:val="00871500"/>
    <w:rsid w:val="00871C84"/>
    <w:rsid w:val="00872104"/>
    <w:rsid w:val="00872731"/>
    <w:rsid w:val="00872A76"/>
    <w:rsid w:val="00872B4F"/>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C36"/>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48D"/>
    <w:rsid w:val="00894C2D"/>
    <w:rsid w:val="00894DC8"/>
    <w:rsid w:val="00895528"/>
    <w:rsid w:val="0089568A"/>
    <w:rsid w:val="00895973"/>
    <w:rsid w:val="008967BE"/>
    <w:rsid w:val="0089763C"/>
    <w:rsid w:val="00897E06"/>
    <w:rsid w:val="00897FBD"/>
    <w:rsid w:val="008A019B"/>
    <w:rsid w:val="008A01D9"/>
    <w:rsid w:val="008A02CB"/>
    <w:rsid w:val="008A0668"/>
    <w:rsid w:val="008A0AC4"/>
    <w:rsid w:val="008A119D"/>
    <w:rsid w:val="008A1A9E"/>
    <w:rsid w:val="008A1C19"/>
    <w:rsid w:val="008A1EAC"/>
    <w:rsid w:val="008A1FB2"/>
    <w:rsid w:val="008A2043"/>
    <w:rsid w:val="008A2100"/>
    <w:rsid w:val="008A22E9"/>
    <w:rsid w:val="008A259E"/>
    <w:rsid w:val="008A265E"/>
    <w:rsid w:val="008A2DC8"/>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AC2"/>
    <w:rsid w:val="008D4C41"/>
    <w:rsid w:val="008D4C9E"/>
    <w:rsid w:val="008D50BF"/>
    <w:rsid w:val="008D544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CDF"/>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1D5"/>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0D1"/>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4F98"/>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476"/>
    <w:rsid w:val="00933B54"/>
    <w:rsid w:val="00933E12"/>
    <w:rsid w:val="00933F20"/>
    <w:rsid w:val="00934664"/>
    <w:rsid w:val="00934CA0"/>
    <w:rsid w:val="00934DC5"/>
    <w:rsid w:val="00934E13"/>
    <w:rsid w:val="009350F7"/>
    <w:rsid w:val="00935101"/>
    <w:rsid w:val="00935393"/>
    <w:rsid w:val="0093579C"/>
    <w:rsid w:val="0093588E"/>
    <w:rsid w:val="00936C31"/>
    <w:rsid w:val="009377DF"/>
    <w:rsid w:val="00937E41"/>
    <w:rsid w:val="00940ABE"/>
    <w:rsid w:val="00940F69"/>
    <w:rsid w:val="009412A4"/>
    <w:rsid w:val="00941531"/>
    <w:rsid w:val="0094193A"/>
    <w:rsid w:val="00942137"/>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0FB5"/>
    <w:rsid w:val="009611A1"/>
    <w:rsid w:val="00961272"/>
    <w:rsid w:val="0096154A"/>
    <w:rsid w:val="00961731"/>
    <w:rsid w:val="00961EED"/>
    <w:rsid w:val="009624CC"/>
    <w:rsid w:val="00962822"/>
    <w:rsid w:val="00963739"/>
    <w:rsid w:val="0096379E"/>
    <w:rsid w:val="00963BB3"/>
    <w:rsid w:val="009640A5"/>
    <w:rsid w:val="009640E8"/>
    <w:rsid w:val="00964DB3"/>
    <w:rsid w:val="00965030"/>
    <w:rsid w:val="0096558E"/>
    <w:rsid w:val="00965F91"/>
    <w:rsid w:val="0096618B"/>
    <w:rsid w:val="009662C0"/>
    <w:rsid w:val="00966525"/>
    <w:rsid w:val="009665F9"/>
    <w:rsid w:val="00966FD6"/>
    <w:rsid w:val="00967531"/>
    <w:rsid w:val="00967945"/>
    <w:rsid w:val="00970E4C"/>
    <w:rsid w:val="009711DC"/>
    <w:rsid w:val="00971506"/>
    <w:rsid w:val="00972463"/>
    <w:rsid w:val="009727AD"/>
    <w:rsid w:val="00972CAF"/>
    <w:rsid w:val="00973587"/>
    <w:rsid w:val="00973DA1"/>
    <w:rsid w:val="00974D95"/>
    <w:rsid w:val="00974DC5"/>
    <w:rsid w:val="00974EB9"/>
    <w:rsid w:val="00975E2A"/>
    <w:rsid w:val="0097618F"/>
    <w:rsid w:val="00976735"/>
    <w:rsid w:val="00976909"/>
    <w:rsid w:val="00976B57"/>
    <w:rsid w:val="0097778B"/>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BE2"/>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3D99"/>
    <w:rsid w:val="00994459"/>
    <w:rsid w:val="009944AC"/>
    <w:rsid w:val="009945B1"/>
    <w:rsid w:val="00994739"/>
    <w:rsid w:val="009948DB"/>
    <w:rsid w:val="009959A1"/>
    <w:rsid w:val="00995D17"/>
    <w:rsid w:val="00995EF7"/>
    <w:rsid w:val="00995FB8"/>
    <w:rsid w:val="009965C2"/>
    <w:rsid w:val="009966B1"/>
    <w:rsid w:val="0099673F"/>
    <w:rsid w:val="00996764"/>
    <w:rsid w:val="00996AC7"/>
    <w:rsid w:val="00997300"/>
    <w:rsid w:val="00997B1B"/>
    <w:rsid w:val="009A0DE0"/>
    <w:rsid w:val="009A1139"/>
    <w:rsid w:val="009A1790"/>
    <w:rsid w:val="009A182C"/>
    <w:rsid w:val="009A19A8"/>
    <w:rsid w:val="009A258D"/>
    <w:rsid w:val="009A2836"/>
    <w:rsid w:val="009A2C4A"/>
    <w:rsid w:val="009A308F"/>
    <w:rsid w:val="009A3334"/>
    <w:rsid w:val="009A3AD3"/>
    <w:rsid w:val="009A3EBF"/>
    <w:rsid w:val="009A3FBF"/>
    <w:rsid w:val="009A42FE"/>
    <w:rsid w:val="009A4A20"/>
    <w:rsid w:val="009A55BE"/>
    <w:rsid w:val="009A57E3"/>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B75C2"/>
    <w:rsid w:val="009C02C1"/>
    <w:rsid w:val="009C02E7"/>
    <w:rsid w:val="009C08F8"/>
    <w:rsid w:val="009C0A03"/>
    <w:rsid w:val="009C0A91"/>
    <w:rsid w:val="009C1BFC"/>
    <w:rsid w:val="009C1E8C"/>
    <w:rsid w:val="009C2046"/>
    <w:rsid w:val="009C213E"/>
    <w:rsid w:val="009C2D3F"/>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17"/>
    <w:rsid w:val="009D04D5"/>
    <w:rsid w:val="009D05EB"/>
    <w:rsid w:val="009D073C"/>
    <w:rsid w:val="009D08BD"/>
    <w:rsid w:val="009D0E51"/>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2D87"/>
    <w:rsid w:val="00A03A2B"/>
    <w:rsid w:val="00A03B62"/>
    <w:rsid w:val="00A043A4"/>
    <w:rsid w:val="00A0521E"/>
    <w:rsid w:val="00A05A3F"/>
    <w:rsid w:val="00A05A87"/>
    <w:rsid w:val="00A05C6C"/>
    <w:rsid w:val="00A05DCA"/>
    <w:rsid w:val="00A05FC1"/>
    <w:rsid w:val="00A06408"/>
    <w:rsid w:val="00A069BD"/>
    <w:rsid w:val="00A06CDE"/>
    <w:rsid w:val="00A07509"/>
    <w:rsid w:val="00A078AA"/>
    <w:rsid w:val="00A103AE"/>
    <w:rsid w:val="00A106BA"/>
    <w:rsid w:val="00A121C8"/>
    <w:rsid w:val="00A1221F"/>
    <w:rsid w:val="00A12337"/>
    <w:rsid w:val="00A13A03"/>
    <w:rsid w:val="00A13B9F"/>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057"/>
    <w:rsid w:val="00A255A6"/>
    <w:rsid w:val="00A25F05"/>
    <w:rsid w:val="00A2602F"/>
    <w:rsid w:val="00A2732C"/>
    <w:rsid w:val="00A27330"/>
    <w:rsid w:val="00A27896"/>
    <w:rsid w:val="00A2792B"/>
    <w:rsid w:val="00A27A15"/>
    <w:rsid w:val="00A27B25"/>
    <w:rsid w:val="00A27D6D"/>
    <w:rsid w:val="00A303E0"/>
    <w:rsid w:val="00A30918"/>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4B"/>
    <w:rsid w:val="00A4648C"/>
    <w:rsid w:val="00A466FB"/>
    <w:rsid w:val="00A46719"/>
    <w:rsid w:val="00A467FB"/>
    <w:rsid w:val="00A46AB2"/>
    <w:rsid w:val="00A472C7"/>
    <w:rsid w:val="00A473A0"/>
    <w:rsid w:val="00A479F0"/>
    <w:rsid w:val="00A5020A"/>
    <w:rsid w:val="00A50777"/>
    <w:rsid w:val="00A508AD"/>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7F0"/>
    <w:rsid w:val="00A648E9"/>
    <w:rsid w:val="00A64A53"/>
    <w:rsid w:val="00A6507E"/>
    <w:rsid w:val="00A6537E"/>
    <w:rsid w:val="00A662D7"/>
    <w:rsid w:val="00A663E2"/>
    <w:rsid w:val="00A66DAF"/>
    <w:rsid w:val="00A66F28"/>
    <w:rsid w:val="00A6716D"/>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54B5"/>
    <w:rsid w:val="00A855A8"/>
    <w:rsid w:val="00A86269"/>
    <w:rsid w:val="00A86496"/>
    <w:rsid w:val="00A86633"/>
    <w:rsid w:val="00A86C27"/>
    <w:rsid w:val="00A879F7"/>
    <w:rsid w:val="00A904A1"/>
    <w:rsid w:val="00A90ACC"/>
    <w:rsid w:val="00A91775"/>
    <w:rsid w:val="00A9194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9A8"/>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13E3"/>
    <w:rsid w:val="00AB21CD"/>
    <w:rsid w:val="00AB22F0"/>
    <w:rsid w:val="00AB3275"/>
    <w:rsid w:val="00AB383D"/>
    <w:rsid w:val="00AB38EB"/>
    <w:rsid w:val="00AB3B43"/>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7BD"/>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071"/>
    <w:rsid w:val="00AE0CBD"/>
    <w:rsid w:val="00AE0F57"/>
    <w:rsid w:val="00AE1627"/>
    <w:rsid w:val="00AE1772"/>
    <w:rsid w:val="00AE2606"/>
    <w:rsid w:val="00AE29C9"/>
    <w:rsid w:val="00AE33A3"/>
    <w:rsid w:val="00AE3442"/>
    <w:rsid w:val="00AE3C76"/>
    <w:rsid w:val="00AE4539"/>
    <w:rsid w:val="00AE47CD"/>
    <w:rsid w:val="00AE4A5C"/>
    <w:rsid w:val="00AE56B9"/>
    <w:rsid w:val="00AE5D2F"/>
    <w:rsid w:val="00AE611D"/>
    <w:rsid w:val="00AE627C"/>
    <w:rsid w:val="00AE6343"/>
    <w:rsid w:val="00AE6A70"/>
    <w:rsid w:val="00AF039E"/>
    <w:rsid w:val="00AF06F9"/>
    <w:rsid w:val="00AF1DB2"/>
    <w:rsid w:val="00AF1F89"/>
    <w:rsid w:val="00AF290B"/>
    <w:rsid w:val="00AF2A56"/>
    <w:rsid w:val="00AF2ECD"/>
    <w:rsid w:val="00AF2FD9"/>
    <w:rsid w:val="00AF3ADE"/>
    <w:rsid w:val="00AF3EA1"/>
    <w:rsid w:val="00AF3ED1"/>
    <w:rsid w:val="00AF4382"/>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0D82"/>
    <w:rsid w:val="00B013AE"/>
    <w:rsid w:val="00B01418"/>
    <w:rsid w:val="00B017C8"/>
    <w:rsid w:val="00B0191E"/>
    <w:rsid w:val="00B019FC"/>
    <w:rsid w:val="00B01A53"/>
    <w:rsid w:val="00B01FB6"/>
    <w:rsid w:val="00B01FE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A15"/>
    <w:rsid w:val="00B20E87"/>
    <w:rsid w:val="00B215D9"/>
    <w:rsid w:val="00B21B76"/>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883"/>
    <w:rsid w:val="00B309D7"/>
    <w:rsid w:val="00B31523"/>
    <w:rsid w:val="00B31CC0"/>
    <w:rsid w:val="00B32112"/>
    <w:rsid w:val="00B32677"/>
    <w:rsid w:val="00B326D7"/>
    <w:rsid w:val="00B32774"/>
    <w:rsid w:val="00B327FB"/>
    <w:rsid w:val="00B34160"/>
    <w:rsid w:val="00B34D1C"/>
    <w:rsid w:val="00B353FA"/>
    <w:rsid w:val="00B3567D"/>
    <w:rsid w:val="00B35BA4"/>
    <w:rsid w:val="00B35D70"/>
    <w:rsid w:val="00B36354"/>
    <w:rsid w:val="00B36371"/>
    <w:rsid w:val="00B36A9D"/>
    <w:rsid w:val="00B36F73"/>
    <w:rsid w:val="00B373CA"/>
    <w:rsid w:val="00B40186"/>
    <w:rsid w:val="00B40292"/>
    <w:rsid w:val="00B40D4A"/>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4F2E"/>
    <w:rsid w:val="00B560A4"/>
    <w:rsid w:val="00B56472"/>
    <w:rsid w:val="00B56799"/>
    <w:rsid w:val="00B56AD8"/>
    <w:rsid w:val="00B56D20"/>
    <w:rsid w:val="00B572BE"/>
    <w:rsid w:val="00B5738D"/>
    <w:rsid w:val="00B57407"/>
    <w:rsid w:val="00B5767A"/>
    <w:rsid w:val="00B57FE8"/>
    <w:rsid w:val="00B6080B"/>
    <w:rsid w:val="00B6106B"/>
    <w:rsid w:val="00B62962"/>
    <w:rsid w:val="00B63337"/>
    <w:rsid w:val="00B637B6"/>
    <w:rsid w:val="00B63E55"/>
    <w:rsid w:val="00B6402D"/>
    <w:rsid w:val="00B641E3"/>
    <w:rsid w:val="00B65001"/>
    <w:rsid w:val="00B65075"/>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8B7"/>
    <w:rsid w:val="00B76903"/>
    <w:rsid w:val="00B76C9C"/>
    <w:rsid w:val="00B7758F"/>
    <w:rsid w:val="00B77DD3"/>
    <w:rsid w:val="00B808D6"/>
    <w:rsid w:val="00B8113F"/>
    <w:rsid w:val="00B81861"/>
    <w:rsid w:val="00B81A05"/>
    <w:rsid w:val="00B81DA7"/>
    <w:rsid w:val="00B81DD6"/>
    <w:rsid w:val="00B82613"/>
    <w:rsid w:val="00B82D33"/>
    <w:rsid w:val="00B84150"/>
    <w:rsid w:val="00B8458D"/>
    <w:rsid w:val="00B85A32"/>
    <w:rsid w:val="00B867B2"/>
    <w:rsid w:val="00B86ED1"/>
    <w:rsid w:val="00B87080"/>
    <w:rsid w:val="00B8720E"/>
    <w:rsid w:val="00B87457"/>
    <w:rsid w:val="00B877A7"/>
    <w:rsid w:val="00B8799E"/>
    <w:rsid w:val="00B87DDC"/>
    <w:rsid w:val="00B908FB"/>
    <w:rsid w:val="00B90AEE"/>
    <w:rsid w:val="00B90C16"/>
    <w:rsid w:val="00B91056"/>
    <w:rsid w:val="00B910BD"/>
    <w:rsid w:val="00B913F2"/>
    <w:rsid w:val="00B916D6"/>
    <w:rsid w:val="00B91D76"/>
    <w:rsid w:val="00B91DA9"/>
    <w:rsid w:val="00B91F2D"/>
    <w:rsid w:val="00B92568"/>
    <w:rsid w:val="00B927D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8A1"/>
    <w:rsid w:val="00BB0D1E"/>
    <w:rsid w:val="00BB18B9"/>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7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98A"/>
    <w:rsid w:val="00BD7CF5"/>
    <w:rsid w:val="00BE02B4"/>
    <w:rsid w:val="00BE0561"/>
    <w:rsid w:val="00BE105B"/>
    <w:rsid w:val="00BE14E1"/>
    <w:rsid w:val="00BE15CC"/>
    <w:rsid w:val="00BE1B3B"/>
    <w:rsid w:val="00BE1C28"/>
    <w:rsid w:val="00BE20AE"/>
    <w:rsid w:val="00BE2552"/>
    <w:rsid w:val="00BE25D2"/>
    <w:rsid w:val="00BE34FB"/>
    <w:rsid w:val="00BE36C0"/>
    <w:rsid w:val="00BE38DC"/>
    <w:rsid w:val="00BE38F0"/>
    <w:rsid w:val="00BE3BCA"/>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79"/>
    <w:rsid w:val="00BF2F91"/>
    <w:rsid w:val="00BF32E3"/>
    <w:rsid w:val="00BF363F"/>
    <w:rsid w:val="00BF382D"/>
    <w:rsid w:val="00BF383E"/>
    <w:rsid w:val="00BF393A"/>
    <w:rsid w:val="00BF3B0F"/>
    <w:rsid w:val="00BF3B5F"/>
    <w:rsid w:val="00BF3C78"/>
    <w:rsid w:val="00BF4471"/>
    <w:rsid w:val="00BF46A1"/>
    <w:rsid w:val="00BF4C70"/>
    <w:rsid w:val="00BF5147"/>
    <w:rsid w:val="00BF5655"/>
    <w:rsid w:val="00BF5B24"/>
    <w:rsid w:val="00BF5CAD"/>
    <w:rsid w:val="00BF5E77"/>
    <w:rsid w:val="00BF5EA7"/>
    <w:rsid w:val="00BF611B"/>
    <w:rsid w:val="00BF6348"/>
    <w:rsid w:val="00BF6409"/>
    <w:rsid w:val="00BF6780"/>
    <w:rsid w:val="00BF68D8"/>
    <w:rsid w:val="00BF69B6"/>
    <w:rsid w:val="00BF69E9"/>
    <w:rsid w:val="00BF6A75"/>
    <w:rsid w:val="00BF7545"/>
    <w:rsid w:val="00BF76EB"/>
    <w:rsid w:val="00C00DFF"/>
    <w:rsid w:val="00C00F34"/>
    <w:rsid w:val="00C0108F"/>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2FE3"/>
    <w:rsid w:val="00C133E6"/>
    <w:rsid w:val="00C13420"/>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1FCE"/>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2A8"/>
    <w:rsid w:val="00C5144F"/>
    <w:rsid w:val="00C52BAB"/>
    <w:rsid w:val="00C534ED"/>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B21"/>
    <w:rsid w:val="00C65DDD"/>
    <w:rsid w:val="00C66234"/>
    <w:rsid w:val="00C6649D"/>
    <w:rsid w:val="00C668EB"/>
    <w:rsid w:val="00C66E0A"/>
    <w:rsid w:val="00C679A0"/>
    <w:rsid w:val="00C67B10"/>
    <w:rsid w:val="00C67B54"/>
    <w:rsid w:val="00C67B78"/>
    <w:rsid w:val="00C67D3C"/>
    <w:rsid w:val="00C70484"/>
    <w:rsid w:val="00C70573"/>
    <w:rsid w:val="00C70798"/>
    <w:rsid w:val="00C70AE7"/>
    <w:rsid w:val="00C715AD"/>
    <w:rsid w:val="00C71DD0"/>
    <w:rsid w:val="00C7249E"/>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0EC3"/>
    <w:rsid w:val="00C8174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EC7"/>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338"/>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1D2D"/>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1C9"/>
    <w:rsid w:val="00CB2D4D"/>
    <w:rsid w:val="00CB3056"/>
    <w:rsid w:val="00CB321C"/>
    <w:rsid w:val="00CB3562"/>
    <w:rsid w:val="00CB37B3"/>
    <w:rsid w:val="00CB4279"/>
    <w:rsid w:val="00CB4B11"/>
    <w:rsid w:val="00CB4F67"/>
    <w:rsid w:val="00CB5D95"/>
    <w:rsid w:val="00CB5F0F"/>
    <w:rsid w:val="00CB60B5"/>
    <w:rsid w:val="00CB615A"/>
    <w:rsid w:val="00CB6C0B"/>
    <w:rsid w:val="00CB70DE"/>
    <w:rsid w:val="00CB7651"/>
    <w:rsid w:val="00CB78E6"/>
    <w:rsid w:val="00CB7D7C"/>
    <w:rsid w:val="00CC0100"/>
    <w:rsid w:val="00CC04BC"/>
    <w:rsid w:val="00CC04EE"/>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5E94"/>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51C9"/>
    <w:rsid w:val="00CD738B"/>
    <w:rsid w:val="00CD7E9F"/>
    <w:rsid w:val="00CE04BA"/>
    <w:rsid w:val="00CE0B40"/>
    <w:rsid w:val="00CE0B54"/>
    <w:rsid w:val="00CE0B9D"/>
    <w:rsid w:val="00CE126A"/>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0DD4"/>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0D"/>
    <w:rsid w:val="00D0611D"/>
    <w:rsid w:val="00D064E8"/>
    <w:rsid w:val="00D07CF4"/>
    <w:rsid w:val="00D10152"/>
    <w:rsid w:val="00D103A1"/>
    <w:rsid w:val="00D10966"/>
    <w:rsid w:val="00D11203"/>
    <w:rsid w:val="00D11862"/>
    <w:rsid w:val="00D11F75"/>
    <w:rsid w:val="00D11FC2"/>
    <w:rsid w:val="00D12675"/>
    <w:rsid w:val="00D13D4E"/>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E9F"/>
    <w:rsid w:val="00D27F6E"/>
    <w:rsid w:val="00D305E3"/>
    <w:rsid w:val="00D3072D"/>
    <w:rsid w:val="00D30919"/>
    <w:rsid w:val="00D30E4E"/>
    <w:rsid w:val="00D30ED1"/>
    <w:rsid w:val="00D313D2"/>
    <w:rsid w:val="00D32775"/>
    <w:rsid w:val="00D328FB"/>
    <w:rsid w:val="00D32FAC"/>
    <w:rsid w:val="00D339CB"/>
    <w:rsid w:val="00D33B51"/>
    <w:rsid w:val="00D33BC1"/>
    <w:rsid w:val="00D33E6C"/>
    <w:rsid w:val="00D33F95"/>
    <w:rsid w:val="00D34DA3"/>
    <w:rsid w:val="00D34F3E"/>
    <w:rsid w:val="00D361F4"/>
    <w:rsid w:val="00D36514"/>
    <w:rsid w:val="00D36A5B"/>
    <w:rsid w:val="00D36AFB"/>
    <w:rsid w:val="00D36D3B"/>
    <w:rsid w:val="00D36E74"/>
    <w:rsid w:val="00D375CE"/>
    <w:rsid w:val="00D379F2"/>
    <w:rsid w:val="00D37C9B"/>
    <w:rsid w:val="00D37DB9"/>
    <w:rsid w:val="00D4009A"/>
    <w:rsid w:val="00D4064F"/>
    <w:rsid w:val="00D40679"/>
    <w:rsid w:val="00D40837"/>
    <w:rsid w:val="00D40A76"/>
    <w:rsid w:val="00D40AD7"/>
    <w:rsid w:val="00D41104"/>
    <w:rsid w:val="00D4118A"/>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247"/>
    <w:rsid w:val="00D4696D"/>
    <w:rsid w:val="00D46B85"/>
    <w:rsid w:val="00D46CCA"/>
    <w:rsid w:val="00D472B4"/>
    <w:rsid w:val="00D4766B"/>
    <w:rsid w:val="00D47C16"/>
    <w:rsid w:val="00D50166"/>
    <w:rsid w:val="00D501A9"/>
    <w:rsid w:val="00D50C12"/>
    <w:rsid w:val="00D51139"/>
    <w:rsid w:val="00D51253"/>
    <w:rsid w:val="00D514FF"/>
    <w:rsid w:val="00D51917"/>
    <w:rsid w:val="00D51952"/>
    <w:rsid w:val="00D51F78"/>
    <w:rsid w:val="00D52F8F"/>
    <w:rsid w:val="00D5337B"/>
    <w:rsid w:val="00D53823"/>
    <w:rsid w:val="00D53A09"/>
    <w:rsid w:val="00D54574"/>
    <w:rsid w:val="00D555A5"/>
    <w:rsid w:val="00D557AE"/>
    <w:rsid w:val="00D55A79"/>
    <w:rsid w:val="00D55C3E"/>
    <w:rsid w:val="00D55F26"/>
    <w:rsid w:val="00D55F88"/>
    <w:rsid w:val="00D5693A"/>
    <w:rsid w:val="00D5720A"/>
    <w:rsid w:val="00D573E5"/>
    <w:rsid w:val="00D57814"/>
    <w:rsid w:val="00D57B41"/>
    <w:rsid w:val="00D57B72"/>
    <w:rsid w:val="00D61E64"/>
    <w:rsid w:val="00D6207B"/>
    <w:rsid w:val="00D62356"/>
    <w:rsid w:val="00D6259D"/>
    <w:rsid w:val="00D629FA"/>
    <w:rsid w:val="00D62A8B"/>
    <w:rsid w:val="00D63361"/>
    <w:rsid w:val="00D636E2"/>
    <w:rsid w:val="00D6370B"/>
    <w:rsid w:val="00D640CB"/>
    <w:rsid w:val="00D6471B"/>
    <w:rsid w:val="00D64D53"/>
    <w:rsid w:val="00D64EA1"/>
    <w:rsid w:val="00D654D1"/>
    <w:rsid w:val="00D65F24"/>
    <w:rsid w:val="00D65F55"/>
    <w:rsid w:val="00D666F2"/>
    <w:rsid w:val="00D66A29"/>
    <w:rsid w:val="00D66AF9"/>
    <w:rsid w:val="00D671F3"/>
    <w:rsid w:val="00D7045C"/>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BF"/>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08D"/>
    <w:rsid w:val="00DB65DC"/>
    <w:rsid w:val="00DB690C"/>
    <w:rsid w:val="00DB69DE"/>
    <w:rsid w:val="00DB69F1"/>
    <w:rsid w:val="00DB6B42"/>
    <w:rsid w:val="00DB6BAE"/>
    <w:rsid w:val="00DB6C58"/>
    <w:rsid w:val="00DB7027"/>
    <w:rsid w:val="00DB77EE"/>
    <w:rsid w:val="00DB7FBB"/>
    <w:rsid w:val="00DC00BD"/>
    <w:rsid w:val="00DC0355"/>
    <w:rsid w:val="00DC06DD"/>
    <w:rsid w:val="00DC0AF6"/>
    <w:rsid w:val="00DC0D84"/>
    <w:rsid w:val="00DC0FCB"/>
    <w:rsid w:val="00DC11BB"/>
    <w:rsid w:val="00DC12AA"/>
    <w:rsid w:val="00DC1388"/>
    <w:rsid w:val="00DC15AB"/>
    <w:rsid w:val="00DC18B6"/>
    <w:rsid w:val="00DC2324"/>
    <w:rsid w:val="00DC2AA2"/>
    <w:rsid w:val="00DC3275"/>
    <w:rsid w:val="00DC33EA"/>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44B4"/>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6C3"/>
    <w:rsid w:val="00DE7BA3"/>
    <w:rsid w:val="00DE7C30"/>
    <w:rsid w:val="00DF0A91"/>
    <w:rsid w:val="00DF0C7E"/>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1FAF"/>
    <w:rsid w:val="00E026A2"/>
    <w:rsid w:val="00E02E43"/>
    <w:rsid w:val="00E031C3"/>
    <w:rsid w:val="00E031F6"/>
    <w:rsid w:val="00E03CAA"/>
    <w:rsid w:val="00E03E9F"/>
    <w:rsid w:val="00E04605"/>
    <w:rsid w:val="00E04A65"/>
    <w:rsid w:val="00E04F84"/>
    <w:rsid w:val="00E05065"/>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06A"/>
    <w:rsid w:val="00E1517F"/>
    <w:rsid w:val="00E15C9D"/>
    <w:rsid w:val="00E15D3C"/>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6C88"/>
    <w:rsid w:val="00E273D8"/>
    <w:rsid w:val="00E279E2"/>
    <w:rsid w:val="00E27C27"/>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2D3D"/>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7A2"/>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0C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0FC"/>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1B6"/>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0EE"/>
    <w:rsid w:val="00E85307"/>
    <w:rsid w:val="00E85C2C"/>
    <w:rsid w:val="00E863BF"/>
    <w:rsid w:val="00E86740"/>
    <w:rsid w:val="00E8713A"/>
    <w:rsid w:val="00E87878"/>
    <w:rsid w:val="00E906AF"/>
    <w:rsid w:val="00E9088E"/>
    <w:rsid w:val="00E90CDD"/>
    <w:rsid w:val="00E9168C"/>
    <w:rsid w:val="00E91692"/>
    <w:rsid w:val="00E91736"/>
    <w:rsid w:val="00E918F5"/>
    <w:rsid w:val="00E91B15"/>
    <w:rsid w:val="00E923C3"/>
    <w:rsid w:val="00E9284F"/>
    <w:rsid w:val="00E92969"/>
    <w:rsid w:val="00E9376D"/>
    <w:rsid w:val="00E93777"/>
    <w:rsid w:val="00E93D8A"/>
    <w:rsid w:val="00E9412C"/>
    <w:rsid w:val="00E946A6"/>
    <w:rsid w:val="00E947AC"/>
    <w:rsid w:val="00E95565"/>
    <w:rsid w:val="00E956E7"/>
    <w:rsid w:val="00E957C2"/>
    <w:rsid w:val="00E95D48"/>
    <w:rsid w:val="00E96895"/>
    <w:rsid w:val="00E96A1A"/>
    <w:rsid w:val="00E96C15"/>
    <w:rsid w:val="00E96FA9"/>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3ABE"/>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ABB"/>
    <w:rsid w:val="00EB4C33"/>
    <w:rsid w:val="00EB5379"/>
    <w:rsid w:val="00EB58AE"/>
    <w:rsid w:val="00EB5AB8"/>
    <w:rsid w:val="00EB6F57"/>
    <w:rsid w:val="00EB7EFC"/>
    <w:rsid w:val="00EC03B1"/>
    <w:rsid w:val="00EC045C"/>
    <w:rsid w:val="00EC15AC"/>
    <w:rsid w:val="00EC16CE"/>
    <w:rsid w:val="00EC1B91"/>
    <w:rsid w:val="00EC21F1"/>
    <w:rsid w:val="00EC2379"/>
    <w:rsid w:val="00EC2C9A"/>
    <w:rsid w:val="00EC2F7E"/>
    <w:rsid w:val="00EC3678"/>
    <w:rsid w:val="00EC3A6B"/>
    <w:rsid w:val="00EC3EE9"/>
    <w:rsid w:val="00EC4287"/>
    <w:rsid w:val="00EC42DB"/>
    <w:rsid w:val="00EC4424"/>
    <w:rsid w:val="00EC4FC0"/>
    <w:rsid w:val="00EC541E"/>
    <w:rsid w:val="00EC5584"/>
    <w:rsid w:val="00EC5EDA"/>
    <w:rsid w:val="00EC6046"/>
    <w:rsid w:val="00EC612B"/>
    <w:rsid w:val="00EC627F"/>
    <w:rsid w:val="00EC6B1F"/>
    <w:rsid w:val="00EC6B4E"/>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87"/>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80"/>
    <w:rsid w:val="00EE29B2"/>
    <w:rsid w:val="00EE29CE"/>
    <w:rsid w:val="00EE3726"/>
    <w:rsid w:val="00EE3AD6"/>
    <w:rsid w:val="00EE3EE0"/>
    <w:rsid w:val="00EE43B9"/>
    <w:rsid w:val="00EE4427"/>
    <w:rsid w:val="00EE477D"/>
    <w:rsid w:val="00EE4858"/>
    <w:rsid w:val="00EE4A29"/>
    <w:rsid w:val="00EE4B7F"/>
    <w:rsid w:val="00EE52F2"/>
    <w:rsid w:val="00EE5A5E"/>
    <w:rsid w:val="00EE5BB8"/>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630"/>
    <w:rsid w:val="00EF3955"/>
    <w:rsid w:val="00EF396B"/>
    <w:rsid w:val="00EF3BCF"/>
    <w:rsid w:val="00EF3C99"/>
    <w:rsid w:val="00EF3D89"/>
    <w:rsid w:val="00EF494C"/>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CAE"/>
    <w:rsid w:val="00F03D5B"/>
    <w:rsid w:val="00F045A5"/>
    <w:rsid w:val="00F04C51"/>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2DE5"/>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1AE"/>
    <w:rsid w:val="00F3628B"/>
    <w:rsid w:val="00F36553"/>
    <w:rsid w:val="00F367B3"/>
    <w:rsid w:val="00F36CE6"/>
    <w:rsid w:val="00F3735B"/>
    <w:rsid w:val="00F377F4"/>
    <w:rsid w:val="00F403A6"/>
    <w:rsid w:val="00F42022"/>
    <w:rsid w:val="00F42083"/>
    <w:rsid w:val="00F42BE4"/>
    <w:rsid w:val="00F42F22"/>
    <w:rsid w:val="00F43148"/>
    <w:rsid w:val="00F43FE6"/>
    <w:rsid w:val="00F44085"/>
    <w:rsid w:val="00F44191"/>
    <w:rsid w:val="00F44613"/>
    <w:rsid w:val="00F44CCA"/>
    <w:rsid w:val="00F4537E"/>
    <w:rsid w:val="00F45BE2"/>
    <w:rsid w:val="00F466A4"/>
    <w:rsid w:val="00F4677D"/>
    <w:rsid w:val="00F467DA"/>
    <w:rsid w:val="00F47417"/>
    <w:rsid w:val="00F47447"/>
    <w:rsid w:val="00F479B4"/>
    <w:rsid w:val="00F47B6D"/>
    <w:rsid w:val="00F501B4"/>
    <w:rsid w:val="00F5087B"/>
    <w:rsid w:val="00F50D55"/>
    <w:rsid w:val="00F51113"/>
    <w:rsid w:val="00F515C5"/>
    <w:rsid w:val="00F522DE"/>
    <w:rsid w:val="00F528A4"/>
    <w:rsid w:val="00F52EF8"/>
    <w:rsid w:val="00F53257"/>
    <w:rsid w:val="00F532E8"/>
    <w:rsid w:val="00F53496"/>
    <w:rsid w:val="00F53DE4"/>
    <w:rsid w:val="00F53E17"/>
    <w:rsid w:val="00F545B3"/>
    <w:rsid w:val="00F54833"/>
    <w:rsid w:val="00F54C19"/>
    <w:rsid w:val="00F54C38"/>
    <w:rsid w:val="00F54F40"/>
    <w:rsid w:val="00F55562"/>
    <w:rsid w:val="00F5599E"/>
    <w:rsid w:val="00F55DC6"/>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0A8"/>
    <w:rsid w:val="00F7075E"/>
    <w:rsid w:val="00F7115A"/>
    <w:rsid w:val="00F711BF"/>
    <w:rsid w:val="00F71248"/>
    <w:rsid w:val="00F71595"/>
    <w:rsid w:val="00F71F52"/>
    <w:rsid w:val="00F72047"/>
    <w:rsid w:val="00F72127"/>
    <w:rsid w:val="00F72249"/>
    <w:rsid w:val="00F7241F"/>
    <w:rsid w:val="00F7274B"/>
    <w:rsid w:val="00F72EAE"/>
    <w:rsid w:val="00F738F1"/>
    <w:rsid w:val="00F742E4"/>
    <w:rsid w:val="00F7456E"/>
    <w:rsid w:val="00F749BB"/>
    <w:rsid w:val="00F749C4"/>
    <w:rsid w:val="00F749CE"/>
    <w:rsid w:val="00F74A77"/>
    <w:rsid w:val="00F74E83"/>
    <w:rsid w:val="00F7670E"/>
    <w:rsid w:val="00F76E97"/>
    <w:rsid w:val="00F772E3"/>
    <w:rsid w:val="00F77615"/>
    <w:rsid w:val="00F7766A"/>
    <w:rsid w:val="00F776C4"/>
    <w:rsid w:val="00F77D99"/>
    <w:rsid w:val="00F77EC4"/>
    <w:rsid w:val="00F80227"/>
    <w:rsid w:val="00F80298"/>
    <w:rsid w:val="00F8031C"/>
    <w:rsid w:val="00F8039C"/>
    <w:rsid w:val="00F808C4"/>
    <w:rsid w:val="00F809CE"/>
    <w:rsid w:val="00F8117A"/>
    <w:rsid w:val="00F81831"/>
    <w:rsid w:val="00F81BA7"/>
    <w:rsid w:val="00F8297B"/>
    <w:rsid w:val="00F82E26"/>
    <w:rsid w:val="00F8356A"/>
    <w:rsid w:val="00F83ADA"/>
    <w:rsid w:val="00F83BCD"/>
    <w:rsid w:val="00F83E42"/>
    <w:rsid w:val="00F8449B"/>
    <w:rsid w:val="00F84626"/>
    <w:rsid w:val="00F84684"/>
    <w:rsid w:val="00F8514B"/>
    <w:rsid w:val="00F85D7B"/>
    <w:rsid w:val="00F85FD9"/>
    <w:rsid w:val="00F86403"/>
    <w:rsid w:val="00F864A4"/>
    <w:rsid w:val="00F86A45"/>
    <w:rsid w:val="00F873B8"/>
    <w:rsid w:val="00F879F7"/>
    <w:rsid w:val="00F87B44"/>
    <w:rsid w:val="00F87FEA"/>
    <w:rsid w:val="00F90550"/>
    <w:rsid w:val="00F90701"/>
    <w:rsid w:val="00F90B6D"/>
    <w:rsid w:val="00F91116"/>
    <w:rsid w:val="00F91132"/>
    <w:rsid w:val="00F912A4"/>
    <w:rsid w:val="00F9159A"/>
    <w:rsid w:val="00F91E98"/>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04B"/>
    <w:rsid w:val="00FA0671"/>
    <w:rsid w:val="00FA09EB"/>
    <w:rsid w:val="00FA189C"/>
    <w:rsid w:val="00FA1C03"/>
    <w:rsid w:val="00FA205A"/>
    <w:rsid w:val="00FA29B4"/>
    <w:rsid w:val="00FA2F80"/>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1D8"/>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6FC1"/>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6FA"/>
    <w:rsid w:val="00FC3937"/>
    <w:rsid w:val="00FC3AEE"/>
    <w:rsid w:val="00FC3BEC"/>
    <w:rsid w:val="00FC3BF3"/>
    <w:rsid w:val="00FC3D7D"/>
    <w:rsid w:val="00FC3DA2"/>
    <w:rsid w:val="00FC3E0D"/>
    <w:rsid w:val="00FC45D1"/>
    <w:rsid w:val="00FC512A"/>
    <w:rsid w:val="00FC56AF"/>
    <w:rsid w:val="00FC59C4"/>
    <w:rsid w:val="00FC5CEA"/>
    <w:rsid w:val="00FC6451"/>
    <w:rsid w:val="00FC6B4B"/>
    <w:rsid w:val="00FC7D22"/>
    <w:rsid w:val="00FC7E19"/>
    <w:rsid w:val="00FD001A"/>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112"/>
    <w:rsid w:val="00FD6678"/>
    <w:rsid w:val="00FD68D8"/>
    <w:rsid w:val="00FD6D00"/>
    <w:rsid w:val="00FD74AF"/>
    <w:rsid w:val="00FD7A37"/>
    <w:rsid w:val="00FD7B0A"/>
    <w:rsid w:val="00FD7DDF"/>
    <w:rsid w:val="00FD7F6B"/>
    <w:rsid w:val="00FE002E"/>
    <w:rsid w:val="00FE0617"/>
    <w:rsid w:val="00FE097C"/>
    <w:rsid w:val="00FE1315"/>
    <w:rsid w:val="00FE135F"/>
    <w:rsid w:val="00FE16BC"/>
    <w:rsid w:val="00FE1881"/>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976"/>
    <w:rsid w:val="00FE6BA8"/>
    <w:rsid w:val="00FE6E71"/>
    <w:rsid w:val="00FE71F6"/>
    <w:rsid w:val="00FE7444"/>
    <w:rsid w:val="00FE7850"/>
    <w:rsid w:val="00FF0224"/>
    <w:rsid w:val="00FF0842"/>
    <w:rsid w:val="00FF0D3F"/>
    <w:rsid w:val="00FF16F2"/>
    <w:rsid w:val="00FF1A3D"/>
    <w:rsid w:val="00FF230C"/>
    <w:rsid w:val="00FF24A1"/>
    <w:rsid w:val="00FF2A06"/>
    <w:rsid w:val="00FF2A12"/>
    <w:rsid w:val="00FF2C67"/>
    <w:rsid w:val="00FF2C94"/>
    <w:rsid w:val="00FF2F38"/>
    <w:rsid w:val="00FF3149"/>
    <w:rsid w:val="00FF3D60"/>
    <w:rsid w:val="00FF3E82"/>
    <w:rsid w:val="00FF44C1"/>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5D70"/>
    <w:pPr>
      <w:widowControl w:val="0"/>
    </w:pPr>
    <w:rPr>
      <w:rFonts w:asciiTheme="minorHAnsi" w:eastAsiaTheme="minorEastAsia" w:hAnsiTheme="minorHAnsi" w:cstheme="minorBidi"/>
      <w:kern w:val="2"/>
      <w:sz w:val="24"/>
      <w:szCs w:val="22"/>
    </w:rPr>
  </w:style>
  <w:style w:type="paragraph" w:styleId="1">
    <w:name w:val="heading 1"/>
    <w:aliases w:val="H1,h1,Heading 1 3GPP,Heading 1,app heading 1,l1,Memo Heading 1,h11,h12,h13,h14,h15,h16,제목 1(no line),Heading 1_a,heading 1,h17,h111,h121,h131,h141,h151,h161,h18,h112,h122,h132,h142,h152,h162,h19,h113,h123,h133,h143,h153,h163,NMP Heading 1,Alt+1"/>
    <w:next w:val="a"/>
    <w:link w:val="10"/>
    <w:uiPriority w:val="9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link w:val="50"/>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35D7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35D70"/>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1"/>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2">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3">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link w:val="B2Char"/>
    <w:qFormat/>
    <w:rsid w:val="00DB3A47"/>
  </w:style>
  <w:style w:type="paragraph" w:customStyle="1" w:styleId="B3">
    <w:name w:val="B3"/>
    <w:basedOn w:val="32"/>
    <w:link w:val="B3Char"/>
    <w:qFormat/>
    <w:rsid w:val="00DB3A47"/>
  </w:style>
  <w:style w:type="paragraph" w:customStyle="1" w:styleId="B4">
    <w:name w:val="B4"/>
    <w:basedOn w:val="41"/>
    <w:rsid w:val="00DB3A47"/>
  </w:style>
  <w:style w:type="paragraph" w:customStyle="1" w:styleId="B5">
    <w:name w:val="B5"/>
    <w:basedOn w:val="52"/>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link w:val="ae"/>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4"/>
    <w:qFormat/>
    <w:rsid w:val="00DB3A47"/>
    <w:pPr>
      <w:spacing w:before="120" w:after="120"/>
    </w:pPr>
    <w:rPr>
      <w:rFonts w:eastAsia="SimSun"/>
      <w:b/>
      <w:sz w:val="20"/>
      <w:szCs w:val="20"/>
    </w:rPr>
  </w:style>
  <w:style w:type="character" w:customStyle="1" w:styleId="af4">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3"/>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5">
    <w:name w:val="FollowedHyperlink"/>
    <w:rsid w:val="00BB6ACC"/>
    <w:rPr>
      <w:color w:val="800080"/>
      <w:u w:val="single"/>
    </w:rPr>
  </w:style>
  <w:style w:type="character" w:customStyle="1" w:styleId="apple-style-span">
    <w:name w:val="apple-style-span"/>
    <w:basedOn w:val="a0"/>
    <w:rsid w:val="00BB6ACC"/>
  </w:style>
  <w:style w:type="paragraph" w:styleId="af6">
    <w:name w:val="Revision"/>
    <w:hidden/>
    <w:uiPriority w:val="99"/>
    <w:semiHidden/>
    <w:rsid w:val="00701FFC"/>
    <w:rPr>
      <w:rFonts w:ascii="Times New Roman" w:hAnsi="Times New Roman"/>
      <w:lang w:val="en-GB" w:eastAsia="en-US"/>
    </w:rPr>
  </w:style>
  <w:style w:type="table" w:styleId="af7">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清單段落1,列出段落"/>
    <w:basedOn w:val="a"/>
    <w:link w:val="af9"/>
    <w:uiPriority w:val="34"/>
    <w:qFormat/>
    <w:rsid w:val="00FE5B8E"/>
    <w:pPr>
      <w:ind w:left="720"/>
    </w:pPr>
  </w:style>
  <w:style w:type="character" w:customStyle="1" w:styleId="10">
    <w:name w:val="標題 1 字元"/>
    <w:aliases w:val="H1 字元,h1 字元,Heading 1 3GPP 字元,Heading 1 字元,app heading 1 字元,l1 字元,Memo Heading 1 字元,h11 字元,h12 字元,h13 字元,h14 字元,h15 字元,h16 字元,제목 1(no line) 字元,Heading 1_a 字元,heading 1 字元,h17 字元,h111 字元,h121 字元,h131 字元,h141 字元,h151 字元,h161 字元,h18 字元,h112 字元"/>
    <w:link w:val="1"/>
    <w:uiPriority w:val="99"/>
    <w:rsid w:val="003A427B"/>
    <w:rPr>
      <w:rFonts w:ascii="Arial" w:hAnsi="Arial"/>
      <w:sz w:val="36"/>
      <w:lang w:val="en-GB" w:eastAsia="en-US" w:bidi="ar-SA"/>
    </w:rPr>
  </w:style>
  <w:style w:type="character" w:customStyle="1" w:styleId="TACChar">
    <w:name w:val="TAC Char"/>
    <w:link w:val="TAC"/>
    <w:qFormat/>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qFormat/>
    <w:locked/>
    <w:rsid w:val="00EE4B7F"/>
    <w:rPr>
      <w:rFonts w:ascii="Times New Roman" w:eastAsia="Times New Roman" w:hAnsi="Times New Roman"/>
      <w:sz w:val="24"/>
      <w:szCs w:val="24"/>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a">
    <w:name w:val="endnote text"/>
    <w:basedOn w:val="a"/>
    <w:link w:val="afb"/>
    <w:rsid w:val="0025336C"/>
    <w:rPr>
      <w:sz w:val="20"/>
      <w:szCs w:val="20"/>
    </w:rPr>
  </w:style>
  <w:style w:type="character" w:customStyle="1" w:styleId="afb">
    <w:name w:val="章節附註文字 字元"/>
    <w:link w:val="afa"/>
    <w:rsid w:val="0025336C"/>
    <w:rPr>
      <w:rFonts w:ascii="Times New Roman" w:eastAsia="Times New Roman" w:hAnsi="Times New Roman"/>
    </w:rPr>
  </w:style>
  <w:style w:type="character" w:styleId="afc">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arlett" w:eastAsia="新細明體" w:hAnsi="Marlet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arlett" w:eastAsia="新細明體" w:hAnsi="Marlet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arlett" w:eastAsia="新細明體" w:hAnsi="Marlett" w:cs="Times New Roman"/>
        <w:b/>
        <w:bCs/>
      </w:rPr>
    </w:tblStylePr>
    <w:tblStylePr w:type="lastCol">
      <w:rPr>
        <w:rFonts w:ascii="Marlett" w:eastAsia="新細明體" w:hAnsi="Marlet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9">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8"/>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Marlett" w:eastAsia="新細明體" w:hAnsi="Marlett" w:cs="Times New Roman"/>
        <w:i/>
        <w:iCs/>
        <w:sz w:val="26"/>
      </w:rPr>
      <w:tblPr/>
      <w:tcPr>
        <w:tcBorders>
          <w:bottom w:val="single" w:sz="4" w:space="0" w:color="4472C4"/>
        </w:tcBorders>
        <w:shd w:val="clear" w:color="auto" w:fill="FFFFFF"/>
      </w:tcPr>
    </w:tblStylePr>
    <w:tblStylePr w:type="lastRow">
      <w:rPr>
        <w:rFonts w:ascii="Marlett" w:eastAsia="新細明體" w:hAnsi="Marlett" w:cs="Times New Roman"/>
        <w:i/>
        <w:iCs/>
        <w:sz w:val="26"/>
      </w:rPr>
      <w:tblPr/>
      <w:tcPr>
        <w:tcBorders>
          <w:top w:val="single" w:sz="4" w:space="0" w:color="4472C4"/>
        </w:tcBorders>
        <w:shd w:val="clear" w:color="auto" w:fill="FFFFFF"/>
      </w:tcPr>
    </w:tblStylePr>
    <w:tblStylePr w:type="firstCol">
      <w:pPr>
        <w:jc w:val="right"/>
      </w:pPr>
      <w:rPr>
        <w:rFonts w:ascii="Marlett" w:eastAsia="新細明體" w:hAnsi="Marlett" w:cs="Times New Roman"/>
        <w:i/>
        <w:iCs/>
        <w:sz w:val="26"/>
      </w:rPr>
      <w:tblPr/>
      <w:tcPr>
        <w:tcBorders>
          <w:right w:val="single" w:sz="4" w:space="0" w:color="4472C4"/>
        </w:tcBorders>
        <w:shd w:val="clear" w:color="auto" w:fill="FFFFFF"/>
      </w:tcPr>
    </w:tblStylePr>
    <w:tblStylePr w:type="lastCol">
      <w:rPr>
        <w:rFonts w:ascii="Marlett" w:eastAsia="新細明體" w:hAnsi="Marlet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d">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e">
    <w:name w:val="Body Text"/>
    <w:basedOn w:val="a"/>
    <w:link w:val="aff"/>
    <w:semiHidden/>
    <w:unhideWhenUsed/>
    <w:rsid w:val="00E21BA1"/>
    <w:pPr>
      <w:spacing w:after="120"/>
    </w:pPr>
  </w:style>
  <w:style w:type="character" w:customStyle="1" w:styleId="aff">
    <w:name w:val="本文 字元"/>
    <w:basedOn w:val="a0"/>
    <w:link w:val="afe"/>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0">
    <w:name w:val="Placeholder Text"/>
    <w:basedOn w:val="a0"/>
    <w:uiPriority w:val="99"/>
    <w:semiHidden/>
    <w:rsid w:val="00BC37AC"/>
    <w:rPr>
      <w:color w:val="808080"/>
    </w:rPr>
  </w:style>
  <w:style w:type="table" w:customStyle="1" w:styleId="15">
    <w:name w:val="表格格線1"/>
    <w:basedOn w:val="a1"/>
    <w:next w:val="af7"/>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1">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ae">
    <w:name w:val="註解文字 字元"/>
    <w:basedOn w:val="a0"/>
    <w:link w:val="ad"/>
    <w:semiHidden/>
    <w:rsid w:val="00BD798A"/>
    <w:rPr>
      <w:rFonts w:asciiTheme="minorHAnsi" w:eastAsia="MS Mincho" w:hAnsiTheme="minorHAnsi" w:cstheme="minorBidi"/>
      <w:kern w:val="2"/>
      <w:sz w:val="24"/>
      <w:szCs w:val="22"/>
    </w:rPr>
  </w:style>
  <w:style w:type="character" w:customStyle="1" w:styleId="50">
    <w:name w:val="標題 5 字元"/>
    <w:basedOn w:val="a0"/>
    <w:link w:val="5"/>
    <w:rsid w:val="00737F48"/>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a0"/>
    <w:uiPriority w:val="99"/>
    <w:locked/>
    <w:rsid w:val="008A2DC8"/>
    <w:rPr>
      <w:rFonts w:ascii="Arial" w:hAnsi="Arial" w:cs="Arial"/>
      <w:lang w:eastAsia="en-US"/>
    </w:rPr>
  </w:style>
  <w:style w:type="character" w:customStyle="1" w:styleId="B2Char">
    <w:name w:val="B2 Char"/>
    <w:link w:val="B2"/>
    <w:qFormat/>
    <w:rsid w:val="00ED3B87"/>
    <w:rPr>
      <w:rFonts w:asciiTheme="minorHAnsi" w:eastAsiaTheme="minorEastAsia" w:hAnsiTheme="minorHAnsi" w:cstheme="minorBidi"/>
      <w:kern w:val="2"/>
      <w:sz w:val="24"/>
      <w:szCs w:val="22"/>
    </w:rPr>
  </w:style>
  <w:style w:type="character" w:customStyle="1" w:styleId="B3Char">
    <w:name w:val="B3 Char"/>
    <w:link w:val="B3"/>
    <w:rsid w:val="00ED3B87"/>
    <w:rPr>
      <w:rFonts w:asciiTheme="minorHAnsi" w:eastAsiaTheme="minorEastAsia" w:hAnsiTheme="minorHAnsi" w:cstheme="minorBidi"/>
      <w:kern w:val="2"/>
      <w:sz w:val="24"/>
      <w:szCs w:val="22"/>
    </w:rPr>
  </w:style>
  <w:style w:type="character" w:customStyle="1" w:styleId="B1Char1">
    <w:name w:val="B1 Char1"/>
    <w:qFormat/>
    <w:rsid w:val="003E01BD"/>
    <w:rPr>
      <w:rFonts w:eastAsia="Times New Roman"/>
      <w:lang w:val="en-GB" w:eastAsia="ja-JP"/>
    </w:rPr>
  </w:style>
  <w:style w:type="character" w:customStyle="1" w:styleId="B3Char2">
    <w:name w:val="B3 Char2"/>
    <w:qFormat/>
    <w:rsid w:val="003E01BD"/>
    <w:rPr>
      <w:rFonts w:eastAsia="Times New Roman"/>
      <w:lang w:val="en-GB" w:eastAsia="ja-JP"/>
    </w:rPr>
  </w:style>
  <w:style w:type="paragraph" w:customStyle="1" w:styleId="Agreement">
    <w:name w:val="Agreement"/>
    <w:basedOn w:val="a"/>
    <w:next w:val="a"/>
    <w:qFormat/>
    <w:rsid w:val="000803EE"/>
    <w:pPr>
      <w:widowControl/>
      <w:numPr>
        <w:numId w:val="15"/>
      </w:numPr>
      <w:spacing w:before="60"/>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2973691">
      <w:bodyDiv w:val="1"/>
      <w:marLeft w:val="0"/>
      <w:marRight w:val="0"/>
      <w:marTop w:val="0"/>
      <w:marBottom w:val="0"/>
      <w:divBdr>
        <w:top w:val="none" w:sz="0" w:space="0" w:color="auto"/>
        <w:left w:val="none" w:sz="0" w:space="0" w:color="auto"/>
        <w:bottom w:val="none" w:sz="0" w:space="0" w:color="auto"/>
        <w:right w:val="none" w:sz="0" w:space="0" w:color="auto"/>
      </w:divBdr>
      <w:divsChild>
        <w:div w:id="643126954">
          <w:marLeft w:val="1080"/>
          <w:marRight w:val="0"/>
          <w:marTop w:val="100"/>
          <w:marBottom w:val="0"/>
          <w:divBdr>
            <w:top w:val="none" w:sz="0" w:space="0" w:color="auto"/>
            <w:left w:val="none" w:sz="0" w:space="0" w:color="auto"/>
            <w:bottom w:val="none" w:sz="0" w:space="0" w:color="auto"/>
            <w:right w:val="none" w:sz="0" w:space="0" w:color="auto"/>
          </w:divBdr>
        </w:div>
        <w:div w:id="669993159">
          <w:marLeft w:val="1080"/>
          <w:marRight w:val="0"/>
          <w:marTop w:val="100"/>
          <w:marBottom w:val="0"/>
          <w:divBdr>
            <w:top w:val="none" w:sz="0" w:space="0" w:color="auto"/>
            <w:left w:val="none" w:sz="0" w:space="0" w:color="auto"/>
            <w:bottom w:val="none" w:sz="0" w:space="0" w:color="auto"/>
            <w:right w:val="none" w:sz="0" w:space="0" w:color="auto"/>
          </w:divBdr>
        </w:div>
        <w:div w:id="1045450591">
          <w:marLeft w:val="360"/>
          <w:marRight w:val="0"/>
          <w:marTop w:val="200"/>
          <w:marBottom w:val="0"/>
          <w:divBdr>
            <w:top w:val="none" w:sz="0" w:space="0" w:color="auto"/>
            <w:left w:val="none" w:sz="0" w:space="0" w:color="auto"/>
            <w:bottom w:val="none" w:sz="0" w:space="0" w:color="auto"/>
            <w:right w:val="none" w:sz="0" w:space="0" w:color="auto"/>
          </w:divBdr>
        </w:div>
        <w:div w:id="1421877100">
          <w:marLeft w:val="1080"/>
          <w:marRight w:val="0"/>
          <w:marTop w:val="100"/>
          <w:marBottom w:val="0"/>
          <w:divBdr>
            <w:top w:val="none" w:sz="0" w:space="0" w:color="auto"/>
            <w:left w:val="none" w:sz="0" w:space="0" w:color="auto"/>
            <w:bottom w:val="none" w:sz="0" w:space="0" w:color="auto"/>
            <w:right w:val="none" w:sz="0" w:space="0" w:color="auto"/>
          </w:divBdr>
        </w:div>
        <w:div w:id="1641114262">
          <w:marLeft w:val="1800"/>
          <w:marRight w:val="0"/>
          <w:marTop w:val="100"/>
          <w:marBottom w:val="0"/>
          <w:divBdr>
            <w:top w:val="none" w:sz="0" w:space="0" w:color="auto"/>
            <w:left w:val="none" w:sz="0" w:space="0" w:color="auto"/>
            <w:bottom w:val="none" w:sz="0" w:space="0" w:color="auto"/>
            <w:right w:val="none" w:sz="0" w:space="0" w:color="auto"/>
          </w:divBdr>
        </w:div>
        <w:div w:id="2110348248">
          <w:marLeft w:val="1080"/>
          <w:marRight w:val="0"/>
          <w:marTop w:val="100"/>
          <w:marBottom w:val="0"/>
          <w:divBdr>
            <w:top w:val="none" w:sz="0" w:space="0" w:color="auto"/>
            <w:left w:val="none" w:sz="0" w:space="0" w:color="auto"/>
            <w:bottom w:val="none" w:sz="0" w:space="0" w:color="auto"/>
            <w:right w:val="none" w:sz="0" w:space="0" w:color="auto"/>
          </w:divBdr>
        </w:div>
      </w:divsChild>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0781051">
      <w:bodyDiv w:val="1"/>
      <w:marLeft w:val="0"/>
      <w:marRight w:val="0"/>
      <w:marTop w:val="0"/>
      <w:marBottom w:val="0"/>
      <w:divBdr>
        <w:top w:val="none" w:sz="0" w:space="0" w:color="auto"/>
        <w:left w:val="none" w:sz="0" w:space="0" w:color="auto"/>
        <w:bottom w:val="none" w:sz="0" w:space="0" w:color="auto"/>
        <w:right w:val="none" w:sz="0" w:space="0" w:color="auto"/>
      </w:divBdr>
      <w:divsChild>
        <w:div w:id="265423749">
          <w:marLeft w:val="1800"/>
          <w:marRight w:val="0"/>
          <w:marTop w:val="100"/>
          <w:marBottom w:val="0"/>
          <w:divBdr>
            <w:top w:val="none" w:sz="0" w:space="0" w:color="auto"/>
            <w:left w:val="none" w:sz="0" w:space="0" w:color="auto"/>
            <w:bottom w:val="none" w:sz="0" w:space="0" w:color="auto"/>
            <w:right w:val="none" w:sz="0" w:space="0" w:color="auto"/>
          </w:divBdr>
        </w:div>
        <w:div w:id="265507379">
          <w:marLeft w:val="1080"/>
          <w:marRight w:val="0"/>
          <w:marTop w:val="100"/>
          <w:marBottom w:val="0"/>
          <w:divBdr>
            <w:top w:val="none" w:sz="0" w:space="0" w:color="auto"/>
            <w:left w:val="none" w:sz="0" w:space="0" w:color="auto"/>
            <w:bottom w:val="none" w:sz="0" w:space="0" w:color="auto"/>
            <w:right w:val="none" w:sz="0" w:space="0" w:color="auto"/>
          </w:divBdr>
        </w:div>
        <w:div w:id="947201666">
          <w:marLeft w:val="1800"/>
          <w:marRight w:val="0"/>
          <w:marTop w:val="100"/>
          <w:marBottom w:val="0"/>
          <w:divBdr>
            <w:top w:val="none" w:sz="0" w:space="0" w:color="auto"/>
            <w:left w:val="none" w:sz="0" w:space="0" w:color="auto"/>
            <w:bottom w:val="none" w:sz="0" w:space="0" w:color="auto"/>
            <w:right w:val="none" w:sz="0" w:space="0" w:color="auto"/>
          </w:divBdr>
        </w:div>
        <w:div w:id="990788848">
          <w:marLeft w:val="1080"/>
          <w:marRight w:val="0"/>
          <w:marTop w:val="100"/>
          <w:marBottom w:val="0"/>
          <w:divBdr>
            <w:top w:val="none" w:sz="0" w:space="0" w:color="auto"/>
            <w:left w:val="none" w:sz="0" w:space="0" w:color="auto"/>
            <w:bottom w:val="none" w:sz="0" w:space="0" w:color="auto"/>
            <w:right w:val="none" w:sz="0" w:space="0" w:color="auto"/>
          </w:divBdr>
        </w:div>
        <w:div w:id="1695769208">
          <w:marLeft w:val="1080"/>
          <w:marRight w:val="0"/>
          <w:marTop w:val="100"/>
          <w:marBottom w:val="0"/>
          <w:divBdr>
            <w:top w:val="none" w:sz="0" w:space="0" w:color="auto"/>
            <w:left w:val="none" w:sz="0" w:space="0" w:color="auto"/>
            <w:bottom w:val="none" w:sz="0" w:space="0" w:color="auto"/>
            <w:right w:val="none" w:sz="0" w:space="0" w:color="auto"/>
          </w:divBdr>
        </w:div>
        <w:div w:id="1860269017">
          <w:marLeft w:val="1080"/>
          <w:marRight w:val="0"/>
          <w:marTop w:val="100"/>
          <w:marBottom w:val="0"/>
          <w:divBdr>
            <w:top w:val="none" w:sz="0" w:space="0" w:color="auto"/>
            <w:left w:val="none" w:sz="0" w:space="0" w:color="auto"/>
            <w:bottom w:val="none" w:sz="0" w:space="0" w:color="auto"/>
            <w:right w:val="none" w:sz="0" w:space="0" w:color="auto"/>
          </w:divBdr>
        </w:div>
        <w:div w:id="2002002681">
          <w:marLeft w:val="1800"/>
          <w:marRight w:val="0"/>
          <w:marTop w:val="100"/>
          <w:marBottom w:val="0"/>
          <w:divBdr>
            <w:top w:val="none" w:sz="0" w:space="0" w:color="auto"/>
            <w:left w:val="none" w:sz="0" w:space="0" w:color="auto"/>
            <w:bottom w:val="none" w:sz="0" w:space="0" w:color="auto"/>
            <w:right w:val="none" w:sz="0" w:space="0" w:color="auto"/>
          </w:divBdr>
        </w:div>
        <w:div w:id="2082290341">
          <w:marLeft w:val="1800"/>
          <w:marRight w:val="0"/>
          <w:marTop w:val="100"/>
          <w:marBottom w:val="0"/>
          <w:divBdr>
            <w:top w:val="none" w:sz="0" w:space="0" w:color="auto"/>
            <w:left w:val="none" w:sz="0" w:space="0" w:color="auto"/>
            <w:bottom w:val="none" w:sz="0" w:space="0" w:color="auto"/>
            <w:right w:val="none" w:sz="0" w:space="0" w:color="auto"/>
          </w:divBdr>
        </w:div>
        <w:div w:id="2083792333">
          <w:marLeft w:val="1800"/>
          <w:marRight w:val="0"/>
          <w:marTop w:val="100"/>
          <w:marBottom w:val="0"/>
          <w:divBdr>
            <w:top w:val="none" w:sz="0" w:space="0" w:color="auto"/>
            <w:left w:val="none" w:sz="0" w:space="0" w:color="auto"/>
            <w:bottom w:val="none" w:sz="0" w:space="0" w:color="auto"/>
            <w:right w:val="none" w:sz="0" w:space="0" w:color="auto"/>
          </w:divBdr>
        </w:div>
      </w:divsChild>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0901008">
      <w:bodyDiv w:val="1"/>
      <w:marLeft w:val="0"/>
      <w:marRight w:val="0"/>
      <w:marTop w:val="0"/>
      <w:marBottom w:val="0"/>
      <w:divBdr>
        <w:top w:val="none" w:sz="0" w:space="0" w:color="auto"/>
        <w:left w:val="none" w:sz="0" w:space="0" w:color="auto"/>
        <w:bottom w:val="none" w:sz="0" w:space="0" w:color="auto"/>
        <w:right w:val="none" w:sz="0" w:space="0" w:color="auto"/>
      </w:divBdr>
      <w:divsChild>
        <w:div w:id="299383825">
          <w:marLeft w:val="1267"/>
          <w:marRight w:val="0"/>
          <w:marTop w:val="180"/>
          <w:marBottom w:val="0"/>
          <w:divBdr>
            <w:top w:val="none" w:sz="0" w:space="0" w:color="auto"/>
            <w:left w:val="none" w:sz="0" w:space="0" w:color="auto"/>
            <w:bottom w:val="none" w:sz="0" w:space="0" w:color="auto"/>
            <w:right w:val="none" w:sz="0" w:space="0" w:color="auto"/>
          </w:divBdr>
        </w:div>
        <w:div w:id="367414389">
          <w:marLeft w:val="1699"/>
          <w:marRight w:val="0"/>
          <w:marTop w:val="120"/>
          <w:marBottom w:val="0"/>
          <w:divBdr>
            <w:top w:val="none" w:sz="0" w:space="0" w:color="auto"/>
            <w:left w:val="none" w:sz="0" w:space="0" w:color="auto"/>
            <w:bottom w:val="none" w:sz="0" w:space="0" w:color="auto"/>
            <w:right w:val="none" w:sz="0" w:space="0" w:color="auto"/>
          </w:divBdr>
        </w:div>
        <w:div w:id="446235460">
          <w:marLeft w:val="1987"/>
          <w:marRight w:val="0"/>
          <w:marTop w:val="100"/>
          <w:marBottom w:val="0"/>
          <w:divBdr>
            <w:top w:val="none" w:sz="0" w:space="0" w:color="auto"/>
            <w:left w:val="none" w:sz="0" w:space="0" w:color="auto"/>
            <w:bottom w:val="none" w:sz="0" w:space="0" w:color="auto"/>
            <w:right w:val="none" w:sz="0" w:space="0" w:color="auto"/>
          </w:divBdr>
        </w:div>
        <w:div w:id="479034036">
          <w:marLeft w:val="1987"/>
          <w:marRight w:val="0"/>
          <w:marTop w:val="100"/>
          <w:marBottom w:val="0"/>
          <w:divBdr>
            <w:top w:val="none" w:sz="0" w:space="0" w:color="auto"/>
            <w:left w:val="none" w:sz="0" w:space="0" w:color="auto"/>
            <w:bottom w:val="none" w:sz="0" w:space="0" w:color="auto"/>
            <w:right w:val="none" w:sz="0" w:space="0" w:color="auto"/>
          </w:divBdr>
        </w:div>
        <w:div w:id="617029659">
          <w:marLeft w:val="1699"/>
          <w:marRight w:val="0"/>
          <w:marTop w:val="120"/>
          <w:marBottom w:val="0"/>
          <w:divBdr>
            <w:top w:val="none" w:sz="0" w:space="0" w:color="auto"/>
            <w:left w:val="none" w:sz="0" w:space="0" w:color="auto"/>
            <w:bottom w:val="none" w:sz="0" w:space="0" w:color="auto"/>
            <w:right w:val="none" w:sz="0" w:space="0" w:color="auto"/>
          </w:divBdr>
        </w:div>
        <w:div w:id="838227646">
          <w:marLeft w:val="1699"/>
          <w:marRight w:val="0"/>
          <w:marTop w:val="120"/>
          <w:marBottom w:val="0"/>
          <w:divBdr>
            <w:top w:val="none" w:sz="0" w:space="0" w:color="auto"/>
            <w:left w:val="none" w:sz="0" w:space="0" w:color="auto"/>
            <w:bottom w:val="none" w:sz="0" w:space="0" w:color="auto"/>
            <w:right w:val="none" w:sz="0" w:space="0" w:color="auto"/>
          </w:divBdr>
        </w:div>
        <w:div w:id="915086875">
          <w:marLeft w:val="1267"/>
          <w:marRight w:val="0"/>
          <w:marTop w:val="180"/>
          <w:marBottom w:val="0"/>
          <w:divBdr>
            <w:top w:val="none" w:sz="0" w:space="0" w:color="auto"/>
            <w:left w:val="none" w:sz="0" w:space="0" w:color="auto"/>
            <w:bottom w:val="none" w:sz="0" w:space="0" w:color="auto"/>
            <w:right w:val="none" w:sz="0" w:space="0" w:color="auto"/>
          </w:divBdr>
        </w:div>
        <w:div w:id="1247962191">
          <w:marLeft w:val="1267"/>
          <w:marRight w:val="0"/>
          <w:marTop w:val="180"/>
          <w:marBottom w:val="0"/>
          <w:divBdr>
            <w:top w:val="none" w:sz="0" w:space="0" w:color="auto"/>
            <w:left w:val="none" w:sz="0" w:space="0" w:color="auto"/>
            <w:bottom w:val="none" w:sz="0" w:space="0" w:color="auto"/>
            <w:right w:val="none" w:sz="0" w:space="0" w:color="auto"/>
          </w:divBdr>
        </w:div>
        <w:div w:id="1445542490">
          <w:marLeft w:val="1987"/>
          <w:marRight w:val="0"/>
          <w:marTop w:val="100"/>
          <w:marBottom w:val="0"/>
          <w:divBdr>
            <w:top w:val="none" w:sz="0" w:space="0" w:color="auto"/>
            <w:left w:val="none" w:sz="0" w:space="0" w:color="auto"/>
            <w:bottom w:val="none" w:sz="0" w:space="0" w:color="auto"/>
            <w:right w:val="none" w:sz="0" w:space="0" w:color="auto"/>
          </w:divBdr>
        </w:div>
        <w:div w:id="1879927262">
          <w:marLeft w:val="1987"/>
          <w:marRight w:val="0"/>
          <w:marTop w:val="100"/>
          <w:marBottom w:val="0"/>
          <w:divBdr>
            <w:top w:val="none" w:sz="0" w:space="0" w:color="auto"/>
            <w:left w:val="none" w:sz="0" w:space="0" w:color="auto"/>
            <w:bottom w:val="none" w:sz="0" w:space="0" w:color="auto"/>
            <w:right w:val="none" w:sz="0" w:space="0" w:color="auto"/>
          </w:divBdr>
        </w:div>
        <w:div w:id="1951819186">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210300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2247891">
          <w:marLeft w:val="2520"/>
          <w:marRight w:val="0"/>
          <w:marTop w:val="100"/>
          <w:marBottom w:val="0"/>
          <w:divBdr>
            <w:top w:val="none" w:sz="0" w:space="0" w:color="auto"/>
            <w:left w:val="none" w:sz="0" w:space="0" w:color="auto"/>
            <w:bottom w:val="none" w:sz="0" w:space="0" w:color="auto"/>
            <w:right w:val="none" w:sz="0" w:space="0" w:color="auto"/>
          </w:divBdr>
        </w:div>
        <w:div w:id="329413614">
          <w:marLeft w:val="360"/>
          <w:marRight w:val="0"/>
          <w:marTop w:val="2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0698875">
      <w:bodyDiv w:val="1"/>
      <w:marLeft w:val="0"/>
      <w:marRight w:val="0"/>
      <w:marTop w:val="0"/>
      <w:marBottom w:val="0"/>
      <w:divBdr>
        <w:top w:val="none" w:sz="0" w:space="0" w:color="auto"/>
        <w:left w:val="none" w:sz="0" w:space="0" w:color="auto"/>
        <w:bottom w:val="none" w:sz="0" w:space="0" w:color="auto"/>
        <w:right w:val="none" w:sz="0" w:space="0" w:color="auto"/>
      </w:divBdr>
      <w:divsChild>
        <w:div w:id="1655337639">
          <w:marLeft w:val="360"/>
          <w:marRight w:val="0"/>
          <w:marTop w:val="200"/>
          <w:marBottom w:val="0"/>
          <w:divBdr>
            <w:top w:val="none" w:sz="0" w:space="0" w:color="auto"/>
            <w:left w:val="none" w:sz="0" w:space="0" w:color="auto"/>
            <w:bottom w:val="none" w:sz="0" w:space="0" w:color="auto"/>
            <w:right w:val="none" w:sz="0" w:space="0" w:color="auto"/>
          </w:divBdr>
        </w:div>
      </w:divsChild>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4207887">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5292149">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1653685">
      <w:bodyDiv w:val="1"/>
      <w:marLeft w:val="0"/>
      <w:marRight w:val="0"/>
      <w:marTop w:val="0"/>
      <w:marBottom w:val="0"/>
      <w:divBdr>
        <w:top w:val="none" w:sz="0" w:space="0" w:color="auto"/>
        <w:left w:val="none" w:sz="0" w:space="0" w:color="auto"/>
        <w:bottom w:val="none" w:sz="0" w:space="0" w:color="auto"/>
        <w:right w:val="none" w:sz="0" w:space="0" w:color="auto"/>
      </w:divBdr>
      <w:divsChild>
        <w:div w:id="1103914399">
          <w:marLeft w:val="360"/>
          <w:marRight w:val="0"/>
          <w:marTop w:val="200"/>
          <w:marBottom w:val="0"/>
          <w:divBdr>
            <w:top w:val="none" w:sz="0" w:space="0" w:color="auto"/>
            <w:left w:val="none" w:sz="0" w:space="0" w:color="auto"/>
            <w:bottom w:val="none" w:sz="0" w:space="0" w:color="auto"/>
            <w:right w:val="none" w:sz="0" w:space="0" w:color="auto"/>
          </w:divBdr>
        </w:div>
        <w:div w:id="1261186451">
          <w:marLeft w:val="1080"/>
          <w:marRight w:val="0"/>
          <w:marTop w:val="100"/>
          <w:marBottom w:val="0"/>
          <w:divBdr>
            <w:top w:val="none" w:sz="0" w:space="0" w:color="auto"/>
            <w:left w:val="none" w:sz="0" w:space="0" w:color="auto"/>
            <w:bottom w:val="none" w:sz="0" w:space="0" w:color="auto"/>
            <w:right w:val="none" w:sz="0" w:space="0" w:color="auto"/>
          </w:divBdr>
        </w:div>
        <w:div w:id="1690183447">
          <w:marLeft w:val="360"/>
          <w:marRight w:val="0"/>
          <w:marTop w:val="200"/>
          <w:marBottom w:val="0"/>
          <w:divBdr>
            <w:top w:val="none" w:sz="0" w:space="0" w:color="auto"/>
            <w:left w:val="none" w:sz="0" w:space="0" w:color="auto"/>
            <w:bottom w:val="none" w:sz="0" w:space="0" w:color="auto"/>
            <w:right w:val="none" w:sz="0" w:space="0" w:color="auto"/>
          </w:divBdr>
        </w:div>
        <w:div w:id="1902592021">
          <w:marLeft w:val="1080"/>
          <w:marRight w:val="0"/>
          <w:marTop w:val="100"/>
          <w:marBottom w:val="0"/>
          <w:divBdr>
            <w:top w:val="none" w:sz="0" w:space="0" w:color="auto"/>
            <w:left w:val="none" w:sz="0" w:space="0" w:color="auto"/>
            <w:bottom w:val="none" w:sz="0" w:space="0" w:color="auto"/>
            <w:right w:val="none" w:sz="0" w:space="0" w:color="auto"/>
          </w:divBdr>
        </w:div>
      </w:divsChild>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0600875">
      <w:bodyDiv w:val="1"/>
      <w:marLeft w:val="0"/>
      <w:marRight w:val="0"/>
      <w:marTop w:val="0"/>
      <w:marBottom w:val="0"/>
      <w:divBdr>
        <w:top w:val="none" w:sz="0" w:space="0" w:color="auto"/>
        <w:left w:val="none" w:sz="0" w:space="0" w:color="auto"/>
        <w:bottom w:val="none" w:sz="0" w:space="0" w:color="auto"/>
        <w:right w:val="none" w:sz="0" w:space="0" w:color="auto"/>
      </w:divBdr>
      <w:divsChild>
        <w:div w:id="272321283">
          <w:marLeft w:val="1080"/>
          <w:marRight w:val="0"/>
          <w:marTop w:val="100"/>
          <w:marBottom w:val="0"/>
          <w:divBdr>
            <w:top w:val="none" w:sz="0" w:space="0" w:color="auto"/>
            <w:left w:val="none" w:sz="0" w:space="0" w:color="auto"/>
            <w:bottom w:val="none" w:sz="0" w:space="0" w:color="auto"/>
            <w:right w:val="none" w:sz="0" w:space="0" w:color="auto"/>
          </w:divBdr>
        </w:div>
        <w:div w:id="963653162">
          <w:marLeft w:val="360"/>
          <w:marRight w:val="0"/>
          <w:marTop w:val="200"/>
          <w:marBottom w:val="0"/>
          <w:divBdr>
            <w:top w:val="none" w:sz="0" w:space="0" w:color="auto"/>
            <w:left w:val="none" w:sz="0" w:space="0" w:color="auto"/>
            <w:bottom w:val="none" w:sz="0" w:space="0" w:color="auto"/>
            <w:right w:val="none" w:sz="0" w:space="0" w:color="auto"/>
          </w:divBdr>
        </w:div>
        <w:div w:id="1093938190">
          <w:marLeft w:val="1080"/>
          <w:marRight w:val="0"/>
          <w:marTop w:val="100"/>
          <w:marBottom w:val="0"/>
          <w:divBdr>
            <w:top w:val="none" w:sz="0" w:space="0" w:color="auto"/>
            <w:left w:val="none" w:sz="0" w:space="0" w:color="auto"/>
            <w:bottom w:val="none" w:sz="0" w:space="0" w:color="auto"/>
            <w:right w:val="none" w:sz="0" w:space="0" w:color="auto"/>
          </w:divBdr>
        </w:div>
        <w:div w:id="1695690723">
          <w:marLeft w:val="1080"/>
          <w:marRight w:val="0"/>
          <w:marTop w:val="100"/>
          <w:marBottom w:val="0"/>
          <w:divBdr>
            <w:top w:val="none" w:sz="0" w:space="0" w:color="auto"/>
            <w:left w:val="none" w:sz="0" w:space="0" w:color="auto"/>
            <w:bottom w:val="none" w:sz="0" w:space="0" w:color="auto"/>
            <w:right w:val="none" w:sz="0" w:space="0" w:color="auto"/>
          </w:divBdr>
        </w:div>
      </w:divsChild>
    </w:div>
    <w:div w:id="605306810">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5160494">
      <w:bodyDiv w:val="1"/>
      <w:marLeft w:val="0"/>
      <w:marRight w:val="0"/>
      <w:marTop w:val="0"/>
      <w:marBottom w:val="0"/>
      <w:divBdr>
        <w:top w:val="none" w:sz="0" w:space="0" w:color="auto"/>
        <w:left w:val="none" w:sz="0" w:space="0" w:color="auto"/>
        <w:bottom w:val="none" w:sz="0" w:space="0" w:color="auto"/>
        <w:right w:val="none" w:sz="0" w:space="0" w:color="auto"/>
      </w:divBdr>
      <w:divsChild>
        <w:div w:id="225190863">
          <w:marLeft w:val="1080"/>
          <w:marRight w:val="0"/>
          <w:marTop w:val="100"/>
          <w:marBottom w:val="0"/>
          <w:divBdr>
            <w:top w:val="none" w:sz="0" w:space="0" w:color="auto"/>
            <w:left w:val="none" w:sz="0" w:space="0" w:color="auto"/>
            <w:bottom w:val="none" w:sz="0" w:space="0" w:color="auto"/>
            <w:right w:val="none" w:sz="0" w:space="0" w:color="auto"/>
          </w:divBdr>
        </w:div>
        <w:div w:id="250046606">
          <w:marLeft w:val="1800"/>
          <w:marRight w:val="0"/>
          <w:marTop w:val="100"/>
          <w:marBottom w:val="0"/>
          <w:divBdr>
            <w:top w:val="none" w:sz="0" w:space="0" w:color="auto"/>
            <w:left w:val="none" w:sz="0" w:space="0" w:color="auto"/>
            <w:bottom w:val="none" w:sz="0" w:space="0" w:color="auto"/>
            <w:right w:val="none" w:sz="0" w:space="0" w:color="auto"/>
          </w:divBdr>
        </w:div>
        <w:div w:id="554586548">
          <w:marLeft w:val="1800"/>
          <w:marRight w:val="0"/>
          <w:marTop w:val="100"/>
          <w:marBottom w:val="0"/>
          <w:divBdr>
            <w:top w:val="none" w:sz="0" w:space="0" w:color="auto"/>
            <w:left w:val="none" w:sz="0" w:space="0" w:color="auto"/>
            <w:bottom w:val="none" w:sz="0" w:space="0" w:color="auto"/>
            <w:right w:val="none" w:sz="0" w:space="0" w:color="auto"/>
          </w:divBdr>
        </w:div>
        <w:div w:id="661203467">
          <w:marLeft w:val="1080"/>
          <w:marRight w:val="0"/>
          <w:marTop w:val="100"/>
          <w:marBottom w:val="0"/>
          <w:divBdr>
            <w:top w:val="none" w:sz="0" w:space="0" w:color="auto"/>
            <w:left w:val="none" w:sz="0" w:space="0" w:color="auto"/>
            <w:bottom w:val="none" w:sz="0" w:space="0" w:color="auto"/>
            <w:right w:val="none" w:sz="0" w:space="0" w:color="auto"/>
          </w:divBdr>
        </w:div>
        <w:div w:id="727916070">
          <w:marLeft w:val="360"/>
          <w:marRight w:val="0"/>
          <w:marTop w:val="200"/>
          <w:marBottom w:val="0"/>
          <w:divBdr>
            <w:top w:val="none" w:sz="0" w:space="0" w:color="auto"/>
            <w:left w:val="none" w:sz="0" w:space="0" w:color="auto"/>
            <w:bottom w:val="none" w:sz="0" w:space="0" w:color="auto"/>
            <w:right w:val="none" w:sz="0" w:space="0" w:color="auto"/>
          </w:divBdr>
        </w:div>
        <w:div w:id="918251218">
          <w:marLeft w:val="360"/>
          <w:marRight w:val="0"/>
          <w:marTop w:val="200"/>
          <w:marBottom w:val="0"/>
          <w:divBdr>
            <w:top w:val="none" w:sz="0" w:space="0" w:color="auto"/>
            <w:left w:val="none" w:sz="0" w:space="0" w:color="auto"/>
            <w:bottom w:val="none" w:sz="0" w:space="0" w:color="auto"/>
            <w:right w:val="none" w:sz="0" w:space="0" w:color="auto"/>
          </w:divBdr>
        </w:div>
        <w:div w:id="1061176124">
          <w:marLeft w:val="1080"/>
          <w:marRight w:val="0"/>
          <w:marTop w:val="100"/>
          <w:marBottom w:val="0"/>
          <w:divBdr>
            <w:top w:val="none" w:sz="0" w:space="0" w:color="auto"/>
            <w:left w:val="none" w:sz="0" w:space="0" w:color="auto"/>
            <w:bottom w:val="none" w:sz="0" w:space="0" w:color="auto"/>
            <w:right w:val="none" w:sz="0" w:space="0" w:color="auto"/>
          </w:divBdr>
        </w:div>
        <w:div w:id="1249922263">
          <w:marLeft w:val="1080"/>
          <w:marRight w:val="0"/>
          <w:marTop w:val="100"/>
          <w:marBottom w:val="0"/>
          <w:divBdr>
            <w:top w:val="none" w:sz="0" w:space="0" w:color="auto"/>
            <w:left w:val="none" w:sz="0" w:space="0" w:color="auto"/>
            <w:bottom w:val="none" w:sz="0" w:space="0" w:color="auto"/>
            <w:right w:val="none" w:sz="0" w:space="0" w:color="auto"/>
          </w:divBdr>
        </w:div>
        <w:div w:id="1262836918">
          <w:marLeft w:val="1800"/>
          <w:marRight w:val="0"/>
          <w:marTop w:val="100"/>
          <w:marBottom w:val="0"/>
          <w:divBdr>
            <w:top w:val="none" w:sz="0" w:space="0" w:color="auto"/>
            <w:left w:val="none" w:sz="0" w:space="0" w:color="auto"/>
            <w:bottom w:val="none" w:sz="0" w:space="0" w:color="auto"/>
            <w:right w:val="none" w:sz="0" w:space="0" w:color="auto"/>
          </w:divBdr>
        </w:div>
        <w:div w:id="1348681553">
          <w:marLeft w:val="1080"/>
          <w:marRight w:val="0"/>
          <w:marTop w:val="100"/>
          <w:marBottom w:val="0"/>
          <w:divBdr>
            <w:top w:val="none" w:sz="0" w:space="0" w:color="auto"/>
            <w:left w:val="none" w:sz="0" w:space="0" w:color="auto"/>
            <w:bottom w:val="none" w:sz="0" w:space="0" w:color="auto"/>
            <w:right w:val="none" w:sz="0" w:space="0" w:color="auto"/>
          </w:divBdr>
        </w:div>
        <w:div w:id="1580408760">
          <w:marLeft w:val="1800"/>
          <w:marRight w:val="0"/>
          <w:marTop w:val="100"/>
          <w:marBottom w:val="0"/>
          <w:divBdr>
            <w:top w:val="none" w:sz="0" w:space="0" w:color="auto"/>
            <w:left w:val="none" w:sz="0" w:space="0" w:color="auto"/>
            <w:bottom w:val="none" w:sz="0" w:space="0" w:color="auto"/>
            <w:right w:val="none" w:sz="0" w:space="0" w:color="auto"/>
          </w:divBdr>
        </w:div>
        <w:div w:id="1594821527">
          <w:marLeft w:val="1080"/>
          <w:marRight w:val="0"/>
          <w:marTop w:val="100"/>
          <w:marBottom w:val="0"/>
          <w:divBdr>
            <w:top w:val="none" w:sz="0" w:space="0" w:color="auto"/>
            <w:left w:val="none" w:sz="0" w:space="0" w:color="auto"/>
            <w:bottom w:val="none" w:sz="0" w:space="0" w:color="auto"/>
            <w:right w:val="none" w:sz="0" w:space="0" w:color="auto"/>
          </w:divBdr>
        </w:div>
        <w:div w:id="2082166863">
          <w:marLeft w:val="1800"/>
          <w:marRight w:val="0"/>
          <w:marTop w:val="100"/>
          <w:marBottom w:val="0"/>
          <w:divBdr>
            <w:top w:val="none" w:sz="0" w:space="0" w:color="auto"/>
            <w:left w:val="none" w:sz="0" w:space="0" w:color="auto"/>
            <w:bottom w:val="none" w:sz="0" w:space="0" w:color="auto"/>
            <w:right w:val="none" w:sz="0" w:space="0" w:color="auto"/>
          </w:divBdr>
        </w:div>
        <w:div w:id="2096901791">
          <w:marLeft w:val="360"/>
          <w:marRight w:val="0"/>
          <w:marTop w:val="200"/>
          <w:marBottom w:val="0"/>
          <w:divBdr>
            <w:top w:val="none" w:sz="0" w:space="0" w:color="auto"/>
            <w:left w:val="none" w:sz="0" w:space="0" w:color="auto"/>
            <w:bottom w:val="none" w:sz="0" w:space="0" w:color="auto"/>
            <w:right w:val="none" w:sz="0" w:space="0" w:color="auto"/>
          </w:divBdr>
        </w:div>
      </w:divsChild>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39190319">
      <w:bodyDiv w:val="1"/>
      <w:marLeft w:val="0"/>
      <w:marRight w:val="0"/>
      <w:marTop w:val="0"/>
      <w:marBottom w:val="0"/>
      <w:divBdr>
        <w:top w:val="none" w:sz="0" w:space="0" w:color="auto"/>
        <w:left w:val="none" w:sz="0" w:space="0" w:color="auto"/>
        <w:bottom w:val="none" w:sz="0" w:space="0" w:color="auto"/>
        <w:right w:val="none" w:sz="0" w:space="0" w:color="auto"/>
      </w:divBdr>
      <w:divsChild>
        <w:div w:id="1684894057">
          <w:marLeft w:val="446"/>
          <w:marRight w:val="0"/>
          <w:marTop w:val="0"/>
          <w:marBottom w:val="0"/>
          <w:divBdr>
            <w:top w:val="none" w:sz="0" w:space="0" w:color="auto"/>
            <w:left w:val="none" w:sz="0" w:space="0" w:color="auto"/>
            <w:bottom w:val="none" w:sz="0" w:space="0" w:color="auto"/>
            <w:right w:val="none" w:sz="0" w:space="0" w:color="auto"/>
          </w:divBdr>
        </w:div>
        <w:div w:id="1735543110">
          <w:marLeft w:val="446"/>
          <w:marRight w:val="0"/>
          <w:marTop w:val="0"/>
          <w:marBottom w:val="0"/>
          <w:divBdr>
            <w:top w:val="none" w:sz="0" w:space="0" w:color="auto"/>
            <w:left w:val="none" w:sz="0" w:space="0" w:color="auto"/>
            <w:bottom w:val="none" w:sz="0" w:space="0" w:color="auto"/>
            <w:right w:val="none" w:sz="0" w:space="0" w:color="auto"/>
          </w:divBdr>
        </w:div>
        <w:div w:id="1767456105">
          <w:marLeft w:val="446"/>
          <w:marRight w:val="0"/>
          <w:marTop w:val="0"/>
          <w:marBottom w:val="0"/>
          <w:divBdr>
            <w:top w:val="none" w:sz="0" w:space="0" w:color="auto"/>
            <w:left w:val="none" w:sz="0" w:space="0" w:color="auto"/>
            <w:bottom w:val="none" w:sz="0" w:space="0" w:color="auto"/>
            <w:right w:val="none" w:sz="0" w:space="0" w:color="auto"/>
          </w:divBdr>
        </w:div>
      </w:divsChild>
    </w:div>
    <w:div w:id="651833600">
      <w:bodyDiv w:val="1"/>
      <w:marLeft w:val="0"/>
      <w:marRight w:val="0"/>
      <w:marTop w:val="0"/>
      <w:marBottom w:val="0"/>
      <w:divBdr>
        <w:top w:val="none" w:sz="0" w:space="0" w:color="auto"/>
        <w:left w:val="none" w:sz="0" w:space="0" w:color="auto"/>
        <w:bottom w:val="none" w:sz="0" w:space="0" w:color="auto"/>
        <w:right w:val="none" w:sz="0" w:space="0" w:color="auto"/>
      </w:divBdr>
      <w:divsChild>
        <w:div w:id="1345860239">
          <w:marLeft w:val="1699"/>
          <w:marRight w:val="0"/>
          <w:marTop w:val="120"/>
          <w:marBottom w:val="0"/>
          <w:divBdr>
            <w:top w:val="none" w:sz="0" w:space="0" w:color="auto"/>
            <w:left w:val="none" w:sz="0" w:space="0" w:color="auto"/>
            <w:bottom w:val="none" w:sz="0" w:space="0" w:color="auto"/>
            <w:right w:val="none" w:sz="0" w:space="0" w:color="auto"/>
          </w:divBdr>
        </w:div>
      </w:divsChild>
    </w:div>
    <w:div w:id="654065812">
      <w:bodyDiv w:val="1"/>
      <w:marLeft w:val="0"/>
      <w:marRight w:val="0"/>
      <w:marTop w:val="0"/>
      <w:marBottom w:val="0"/>
      <w:divBdr>
        <w:top w:val="none" w:sz="0" w:space="0" w:color="auto"/>
        <w:left w:val="none" w:sz="0" w:space="0" w:color="auto"/>
        <w:bottom w:val="none" w:sz="0" w:space="0" w:color="auto"/>
        <w:right w:val="none" w:sz="0" w:space="0" w:color="auto"/>
      </w:divBdr>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1349260">
      <w:bodyDiv w:val="1"/>
      <w:marLeft w:val="0"/>
      <w:marRight w:val="0"/>
      <w:marTop w:val="0"/>
      <w:marBottom w:val="0"/>
      <w:divBdr>
        <w:top w:val="none" w:sz="0" w:space="0" w:color="auto"/>
        <w:left w:val="none" w:sz="0" w:space="0" w:color="auto"/>
        <w:bottom w:val="none" w:sz="0" w:space="0" w:color="auto"/>
        <w:right w:val="none" w:sz="0" w:space="0" w:color="auto"/>
      </w:divBdr>
      <w:divsChild>
        <w:div w:id="54546346">
          <w:marLeft w:val="1080"/>
          <w:marRight w:val="0"/>
          <w:marTop w:val="100"/>
          <w:marBottom w:val="0"/>
          <w:divBdr>
            <w:top w:val="none" w:sz="0" w:space="0" w:color="auto"/>
            <w:left w:val="none" w:sz="0" w:space="0" w:color="auto"/>
            <w:bottom w:val="none" w:sz="0" w:space="0" w:color="auto"/>
            <w:right w:val="none" w:sz="0" w:space="0" w:color="auto"/>
          </w:divBdr>
        </w:div>
        <w:div w:id="212473485">
          <w:marLeft w:val="360"/>
          <w:marRight w:val="0"/>
          <w:marTop w:val="200"/>
          <w:marBottom w:val="0"/>
          <w:divBdr>
            <w:top w:val="none" w:sz="0" w:space="0" w:color="auto"/>
            <w:left w:val="none" w:sz="0" w:space="0" w:color="auto"/>
            <w:bottom w:val="none" w:sz="0" w:space="0" w:color="auto"/>
            <w:right w:val="none" w:sz="0" w:space="0" w:color="auto"/>
          </w:divBdr>
        </w:div>
        <w:div w:id="386925074">
          <w:marLeft w:val="360"/>
          <w:marRight w:val="0"/>
          <w:marTop w:val="200"/>
          <w:marBottom w:val="0"/>
          <w:divBdr>
            <w:top w:val="none" w:sz="0" w:space="0" w:color="auto"/>
            <w:left w:val="none" w:sz="0" w:space="0" w:color="auto"/>
            <w:bottom w:val="none" w:sz="0" w:space="0" w:color="auto"/>
            <w:right w:val="none" w:sz="0" w:space="0" w:color="auto"/>
          </w:divBdr>
        </w:div>
        <w:div w:id="824203856">
          <w:marLeft w:val="360"/>
          <w:marRight w:val="0"/>
          <w:marTop w:val="200"/>
          <w:marBottom w:val="0"/>
          <w:divBdr>
            <w:top w:val="none" w:sz="0" w:space="0" w:color="auto"/>
            <w:left w:val="none" w:sz="0" w:space="0" w:color="auto"/>
            <w:bottom w:val="none" w:sz="0" w:space="0" w:color="auto"/>
            <w:right w:val="none" w:sz="0" w:space="0" w:color="auto"/>
          </w:divBdr>
        </w:div>
        <w:div w:id="1369263020">
          <w:marLeft w:val="1080"/>
          <w:marRight w:val="0"/>
          <w:marTop w:val="100"/>
          <w:marBottom w:val="0"/>
          <w:divBdr>
            <w:top w:val="none" w:sz="0" w:space="0" w:color="auto"/>
            <w:left w:val="none" w:sz="0" w:space="0" w:color="auto"/>
            <w:bottom w:val="none" w:sz="0" w:space="0" w:color="auto"/>
            <w:right w:val="none" w:sz="0" w:space="0" w:color="auto"/>
          </w:divBdr>
        </w:div>
        <w:div w:id="1384521761">
          <w:marLeft w:val="1080"/>
          <w:marRight w:val="0"/>
          <w:marTop w:val="100"/>
          <w:marBottom w:val="0"/>
          <w:divBdr>
            <w:top w:val="none" w:sz="0" w:space="0" w:color="auto"/>
            <w:left w:val="none" w:sz="0" w:space="0" w:color="auto"/>
            <w:bottom w:val="none" w:sz="0" w:space="0" w:color="auto"/>
            <w:right w:val="none" w:sz="0" w:space="0" w:color="auto"/>
          </w:divBdr>
        </w:div>
        <w:div w:id="1817917988">
          <w:marLeft w:val="1080"/>
          <w:marRight w:val="0"/>
          <w:marTop w:val="100"/>
          <w:marBottom w:val="0"/>
          <w:divBdr>
            <w:top w:val="none" w:sz="0" w:space="0" w:color="auto"/>
            <w:left w:val="none" w:sz="0" w:space="0" w:color="auto"/>
            <w:bottom w:val="none" w:sz="0" w:space="0" w:color="auto"/>
            <w:right w:val="none" w:sz="0" w:space="0" w:color="auto"/>
          </w:divBdr>
        </w:div>
        <w:div w:id="1827743696">
          <w:marLeft w:val="360"/>
          <w:marRight w:val="0"/>
          <w:marTop w:val="200"/>
          <w:marBottom w:val="0"/>
          <w:divBdr>
            <w:top w:val="none" w:sz="0" w:space="0" w:color="auto"/>
            <w:left w:val="none" w:sz="0" w:space="0" w:color="auto"/>
            <w:bottom w:val="none" w:sz="0" w:space="0" w:color="auto"/>
            <w:right w:val="none" w:sz="0" w:space="0" w:color="auto"/>
          </w:divBdr>
        </w:div>
        <w:div w:id="1866750243">
          <w:marLeft w:val="360"/>
          <w:marRight w:val="0"/>
          <w:marTop w:val="200"/>
          <w:marBottom w:val="0"/>
          <w:divBdr>
            <w:top w:val="none" w:sz="0" w:space="0" w:color="auto"/>
            <w:left w:val="none" w:sz="0" w:space="0" w:color="auto"/>
            <w:bottom w:val="none" w:sz="0" w:space="0" w:color="auto"/>
            <w:right w:val="none" w:sz="0" w:space="0" w:color="auto"/>
          </w:divBdr>
        </w:div>
        <w:div w:id="1932471282">
          <w:marLeft w:val="1080"/>
          <w:marRight w:val="0"/>
          <w:marTop w:val="100"/>
          <w:marBottom w:val="0"/>
          <w:divBdr>
            <w:top w:val="none" w:sz="0" w:space="0" w:color="auto"/>
            <w:left w:val="none" w:sz="0" w:space="0" w:color="auto"/>
            <w:bottom w:val="none" w:sz="0" w:space="0" w:color="auto"/>
            <w:right w:val="none" w:sz="0" w:space="0" w:color="auto"/>
          </w:divBdr>
        </w:div>
        <w:div w:id="2141418836">
          <w:marLeft w:val="1080"/>
          <w:marRight w:val="0"/>
          <w:marTop w:val="100"/>
          <w:marBottom w:val="0"/>
          <w:divBdr>
            <w:top w:val="none" w:sz="0" w:space="0" w:color="auto"/>
            <w:left w:val="none" w:sz="0" w:space="0" w:color="auto"/>
            <w:bottom w:val="none" w:sz="0" w:space="0" w:color="auto"/>
            <w:right w:val="none" w:sz="0" w:space="0" w:color="auto"/>
          </w:divBdr>
        </w:div>
      </w:divsChild>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2505104">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42072017">
      <w:bodyDiv w:val="1"/>
      <w:marLeft w:val="0"/>
      <w:marRight w:val="0"/>
      <w:marTop w:val="0"/>
      <w:marBottom w:val="0"/>
      <w:divBdr>
        <w:top w:val="none" w:sz="0" w:space="0" w:color="auto"/>
        <w:left w:val="none" w:sz="0" w:space="0" w:color="auto"/>
        <w:bottom w:val="none" w:sz="0" w:space="0" w:color="auto"/>
        <w:right w:val="none" w:sz="0" w:space="0" w:color="auto"/>
      </w:divBdr>
      <w:divsChild>
        <w:div w:id="13074252">
          <w:marLeft w:val="360"/>
          <w:marRight w:val="0"/>
          <w:marTop w:val="200"/>
          <w:marBottom w:val="0"/>
          <w:divBdr>
            <w:top w:val="none" w:sz="0" w:space="0" w:color="auto"/>
            <w:left w:val="none" w:sz="0" w:space="0" w:color="auto"/>
            <w:bottom w:val="none" w:sz="0" w:space="0" w:color="auto"/>
            <w:right w:val="none" w:sz="0" w:space="0" w:color="auto"/>
          </w:divBdr>
        </w:div>
        <w:div w:id="323701328">
          <w:marLeft w:val="1800"/>
          <w:marRight w:val="0"/>
          <w:marTop w:val="100"/>
          <w:marBottom w:val="0"/>
          <w:divBdr>
            <w:top w:val="none" w:sz="0" w:space="0" w:color="auto"/>
            <w:left w:val="none" w:sz="0" w:space="0" w:color="auto"/>
            <w:bottom w:val="none" w:sz="0" w:space="0" w:color="auto"/>
            <w:right w:val="none" w:sz="0" w:space="0" w:color="auto"/>
          </w:divBdr>
        </w:div>
        <w:div w:id="350029408">
          <w:marLeft w:val="1080"/>
          <w:marRight w:val="0"/>
          <w:marTop w:val="100"/>
          <w:marBottom w:val="0"/>
          <w:divBdr>
            <w:top w:val="none" w:sz="0" w:space="0" w:color="auto"/>
            <w:left w:val="none" w:sz="0" w:space="0" w:color="auto"/>
            <w:bottom w:val="none" w:sz="0" w:space="0" w:color="auto"/>
            <w:right w:val="none" w:sz="0" w:space="0" w:color="auto"/>
          </w:divBdr>
        </w:div>
        <w:div w:id="549343686">
          <w:marLeft w:val="1080"/>
          <w:marRight w:val="0"/>
          <w:marTop w:val="100"/>
          <w:marBottom w:val="0"/>
          <w:divBdr>
            <w:top w:val="none" w:sz="0" w:space="0" w:color="auto"/>
            <w:left w:val="none" w:sz="0" w:space="0" w:color="auto"/>
            <w:bottom w:val="none" w:sz="0" w:space="0" w:color="auto"/>
            <w:right w:val="none" w:sz="0" w:space="0" w:color="auto"/>
          </w:divBdr>
        </w:div>
        <w:div w:id="884558157">
          <w:marLeft w:val="360"/>
          <w:marRight w:val="0"/>
          <w:marTop w:val="200"/>
          <w:marBottom w:val="0"/>
          <w:divBdr>
            <w:top w:val="none" w:sz="0" w:space="0" w:color="auto"/>
            <w:left w:val="none" w:sz="0" w:space="0" w:color="auto"/>
            <w:bottom w:val="none" w:sz="0" w:space="0" w:color="auto"/>
            <w:right w:val="none" w:sz="0" w:space="0" w:color="auto"/>
          </w:divBdr>
        </w:div>
        <w:div w:id="1190492324">
          <w:marLeft w:val="1080"/>
          <w:marRight w:val="0"/>
          <w:marTop w:val="100"/>
          <w:marBottom w:val="0"/>
          <w:divBdr>
            <w:top w:val="none" w:sz="0" w:space="0" w:color="auto"/>
            <w:left w:val="none" w:sz="0" w:space="0" w:color="auto"/>
            <w:bottom w:val="none" w:sz="0" w:space="0" w:color="auto"/>
            <w:right w:val="none" w:sz="0" w:space="0" w:color="auto"/>
          </w:divBdr>
        </w:div>
        <w:div w:id="1268738478">
          <w:marLeft w:val="1080"/>
          <w:marRight w:val="0"/>
          <w:marTop w:val="100"/>
          <w:marBottom w:val="0"/>
          <w:divBdr>
            <w:top w:val="none" w:sz="0" w:space="0" w:color="auto"/>
            <w:left w:val="none" w:sz="0" w:space="0" w:color="auto"/>
            <w:bottom w:val="none" w:sz="0" w:space="0" w:color="auto"/>
            <w:right w:val="none" w:sz="0" w:space="0" w:color="auto"/>
          </w:divBdr>
        </w:div>
        <w:div w:id="1410617700">
          <w:marLeft w:val="360"/>
          <w:marRight w:val="0"/>
          <w:marTop w:val="200"/>
          <w:marBottom w:val="0"/>
          <w:divBdr>
            <w:top w:val="none" w:sz="0" w:space="0" w:color="auto"/>
            <w:left w:val="none" w:sz="0" w:space="0" w:color="auto"/>
            <w:bottom w:val="none" w:sz="0" w:space="0" w:color="auto"/>
            <w:right w:val="none" w:sz="0" w:space="0" w:color="auto"/>
          </w:divBdr>
        </w:div>
        <w:div w:id="1411074252">
          <w:marLeft w:val="1080"/>
          <w:marRight w:val="0"/>
          <w:marTop w:val="100"/>
          <w:marBottom w:val="0"/>
          <w:divBdr>
            <w:top w:val="none" w:sz="0" w:space="0" w:color="auto"/>
            <w:left w:val="none" w:sz="0" w:space="0" w:color="auto"/>
            <w:bottom w:val="none" w:sz="0" w:space="0" w:color="auto"/>
            <w:right w:val="none" w:sz="0" w:space="0" w:color="auto"/>
          </w:divBdr>
        </w:div>
        <w:div w:id="1604417579">
          <w:marLeft w:val="1080"/>
          <w:marRight w:val="0"/>
          <w:marTop w:val="100"/>
          <w:marBottom w:val="0"/>
          <w:divBdr>
            <w:top w:val="none" w:sz="0" w:space="0" w:color="auto"/>
            <w:left w:val="none" w:sz="0" w:space="0" w:color="auto"/>
            <w:bottom w:val="none" w:sz="0" w:space="0" w:color="auto"/>
            <w:right w:val="none" w:sz="0" w:space="0" w:color="auto"/>
          </w:divBdr>
        </w:div>
        <w:div w:id="1678145360">
          <w:marLeft w:val="1080"/>
          <w:marRight w:val="0"/>
          <w:marTop w:val="100"/>
          <w:marBottom w:val="0"/>
          <w:divBdr>
            <w:top w:val="none" w:sz="0" w:space="0" w:color="auto"/>
            <w:left w:val="none" w:sz="0" w:space="0" w:color="auto"/>
            <w:bottom w:val="none" w:sz="0" w:space="0" w:color="auto"/>
            <w:right w:val="none" w:sz="0" w:space="0" w:color="auto"/>
          </w:divBdr>
        </w:div>
        <w:div w:id="1774593064">
          <w:marLeft w:val="360"/>
          <w:marRight w:val="0"/>
          <w:marTop w:val="200"/>
          <w:marBottom w:val="0"/>
          <w:divBdr>
            <w:top w:val="none" w:sz="0" w:space="0" w:color="auto"/>
            <w:left w:val="none" w:sz="0" w:space="0" w:color="auto"/>
            <w:bottom w:val="none" w:sz="0" w:space="0" w:color="auto"/>
            <w:right w:val="none" w:sz="0" w:space="0" w:color="auto"/>
          </w:divBdr>
        </w:div>
        <w:div w:id="1807039492">
          <w:marLeft w:val="1800"/>
          <w:marRight w:val="0"/>
          <w:marTop w:val="100"/>
          <w:marBottom w:val="0"/>
          <w:divBdr>
            <w:top w:val="none" w:sz="0" w:space="0" w:color="auto"/>
            <w:left w:val="none" w:sz="0" w:space="0" w:color="auto"/>
            <w:bottom w:val="none" w:sz="0" w:space="0" w:color="auto"/>
            <w:right w:val="none" w:sz="0" w:space="0" w:color="auto"/>
          </w:divBdr>
        </w:div>
        <w:div w:id="1817333827">
          <w:marLeft w:val="360"/>
          <w:marRight w:val="0"/>
          <w:marTop w:val="200"/>
          <w:marBottom w:val="0"/>
          <w:divBdr>
            <w:top w:val="none" w:sz="0" w:space="0" w:color="auto"/>
            <w:left w:val="none" w:sz="0" w:space="0" w:color="auto"/>
            <w:bottom w:val="none" w:sz="0" w:space="0" w:color="auto"/>
            <w:right w:val="none" w:sz="0" w:space="0" w:color="auto"/>
          </w:divBdr>
        </w:div>
        <w:div w:id="1924414070">
          <w:marLeft w:val="1080"/>
          <w:marRight w:val="0"/>
          <w:marTop w:val="100"/>
          <w:marBottom w:val="0"/>
          <w:divBdr>
            <w:top w:val="none" w:sz="0" w:space="0" w:color="auto"/>
            <w:left w:val="none" w:sz="0" w:space="0" w:color="auto"/>
            <w:bottom w:val="none" w:sz="0" w:space="0" w:color="auto"/>
            <w:right w:val="none" w:sz="0" w:space="0" w:color="auto"/>
          </w:divBdr>
        </w:div>
      </w:divsChild>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2375634">
      <w:bodyDiv w:val="1"/>
      <w:marLeft w:val="0"/>
      <w:marRight w:val="0"/>
      <w:marTop w:val="0"/>
      <w:marBottom w:val="0"/>
      <w:divBdr>
        <w:top w:val="none" w:sz="0" w:space="0" w:color="auto"/>
        <w:left w:val="none" w:sz="0" w:space="0" w:color="auto"/>
        <w:bottom w:val="none" w:sz="0" w:space="0" w:color="auto"/>
        <w:right w:val="none" w:sz="0" w:space="0" w:color="auto"/>
      </w:divBdr>
      <w:divsChild>
        <w:div w:id="1739401894">
          <w:marLeft w:val="1699"/>
          <w:marRight w:val="0"/>
          <w:marTop w:val="120"/>
          <w:marBottom w:val="0"/>
          <w:divBdr>
            <w:top w:val="none" w:sz="0" w:space="0" w:color="auto"/>
            <w:left w:val="none" w:sz="0" w:space="0" w:color="auto"/>
            <w:bottom w:val="none" w:sz="0" w:space="0" w:color="auto"/>
            <w:right w:val="none" w:sz="0" w:space="0" w:color="auto"/>
          </w:divBdr>
        </w:div>
      </w:divsChild>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6227676">
      <w:bodyDiv w:val="1"/>
      <w:marLeft w:val="0"/>
      <w:marRight w:val="0"/>
      <w:marTop w:val="0"/>
      <w:marBottom w:val="0"/>
      <w:divBdr>
        <w:top w:val="none" w:sz="0" w:space="0" w:color="auto"/>
        <w:left w:val="none" w:sz="0" w:space="0" w:color="auto"/>
        <w:bottom w:val="none" w:sz="0" w:space="0" w:color="auto"/>
        <w:right w:val="none" w:sz="0" w:space="0" w:color="auto"/>
      </w:divBdr>
      <w:divsChild>
        <w:div w:id="242029944">
          <w:marLeft w:val="360"/>
          <w:marRight w:val="0"/>
          <w:marTop w:val="200"/>
          <w:marBottom w:val="0"/>
          <w:divBdr>
            <w:top w:val="none" w:sz="0" w:space="0" w:color="auto"/>
            <w:left w:val="none" w:sz="0" w:space="0" w:color="auto"/>
            <w:bottom w:val="none" w:sz="0" w:space="0" w:color="auto"/>
            <w:right w:val="none" w:sz="0" w:space="0" w:color="auto"/>
          </w:divBdr>
        </w:div>
        <w:div w:id="1213031403">
          <w:marLeft w:val="360"/>
          <w:marRight w:val="0"/>
          <w:marTop w:val="200"/>
          <w:marBottom w:val="0"/>
          <w:divBdr>
            <w:top w:val="none" w:sz="0" w:space="0" w:color="auto"/>
            <w:left w:val="none" w:sz="0" w:space="0" w:color="auto"/>
            <w:bottom w:val="none" w:sz="0" w:space="0" w:color="auto"/>
            <w:right w:val="none" w:sz="0" w:space="0" w:color="auto"/>
          </w:divBdr>
        </w:div>
        <w:div w:id="1217425562">
          <w:marLeft w:val="1080"/>
          <w:marRight w:val="0"/>
          <w:marTop w:val="100"/>
          <w:marBottom w:val="0"/>
          <w:divBdr>
            <w:top w:val="none" w:sz="0" w:space="0" w:color="auto"/>
            <w:left w:val="none" w:sz="0" w:space="0" w:color="auto"/>
            <w:bottom w:val="none" w:sz="0" w:space="0" w:color="auto"/>
            <w:right w:val="none" w:sz="0" w:space="0" w:color="auto"/>
          </w:divBdr>
        </w:div>
        <w:div w:id="1511750705">
          <w:marLeft w:val="1080"/>
          <w:marRight w:val="0"/>
          <w:marTop w:val="100"/>
          <w:marBottom w:val="0"/>
          <w:divBdr>
            <w:top w:val="none" w:sz="0" w:space="0" w:color="auto"/>
            <w:left w:val="none" w:sz="0" w:space="0" w:color="auto"/>
            <w:bottom w:val="none" w:sz="0" w:space="0" w:color="auto"/>
            <w:right w:val="none" w:sz="0" w:space="0" w:color="auto"/>
          </w:divBdr>
        </w:div>
        <w:div w:id="1612741978">
          <w:marLeft w:val="1080"/>
          <w:marRight w:val="0"/>
          <w:marTop w:val="100"/>
          <w:marBottom w:val="0"/>
          <w:divBdr>
            <w:top w:val="none" w:sz="0" w:space="0" w:color="auto"/>
            <w:left w:val="none" w:sz="0" w:space="0" w:color="auto"/>
            <w:bottom w:val="none" w:sz="0" w:space="0" w:color="auto"/>
            <w:right w:val="none" w:sz="0" w:space="0" w:color="auto"/>
          </w:divBdr>
        </w:div>
        <w:div w:id="1771197585">
          <w:marLeft w:val="360"/>
          <w:marRight w:val="0"/>
          <w:marTop w:val="200"/>
          <w:marBottom w:val="0"/>
          <w:divBdr>
            <w:top w:val="none" w:sz="0" w:space="0" w:color="auto"/>
            <w:left w:val="none" w:sz="0" w:space="0" w:color="auto"/>
            <w:bottom w:val="none" w:sz="0" w:space="0" w:color="auto"/>
            <w:right w:val="none" w:sz="0" w:space="0" w:color="auto"/>
          </w:divBdr>
        </w:div>
        <w:div w:id="1800608744">
          <w:marLeft w:val="360"/>
          <w:marRight w:val="0"/>
          <w:marTop w:val="200"/>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1924544">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4739467">
      <w:bodyDiv w:val="1"/>
      <w:marLeft w:val="0"/>
      <w:marRight w:val="0"/>
      <w:marTop w:val="0"/>
      <w:marBottom w:val="0"/>
      <w:divBdr>
        <w:top w:val="none" w:sz="0" w:space="0" w:color="auto"/>
        <w:left w:val="none" w:sz="0" w:space="0" w:color="auto"/>
        <w:bottom w:val="none" w:sz="0" w:space="0" w:color="auto"/>
        <w:right w:val="none" w:sz="0" w:space="0" w:color="auto"/>
      </w:divBdr>
      <w:divsChild>
        <w:div w:id="378628586">
          <w:marLeft w:val="446"/>
          <w:marRight w:val="0"/>
          <w:marTop w:val="0"/>
          <w:marBottom w:val="0"/>
          <w:divBdr>
            <w:top w:val="none" w:sz="0" w:space="0" w:color="auto"/>
            <w:left w:val="none" w:sz="0" w:space="0" w:color="auto"/>
            <w:bottom w:val="none" w:sz="0" w:space="0" w:color="auto"/>
            <w:right w:val="none" w:sz="0" w:space="0" w:color="auto"/>
          </w:divBdr>
        </w:div>
        <w:div w:id="1267880976">
          <w:marLeft w:val="446"/>
          <w:marRight w:val="0"/>
          <w:marTop w:val="0"/>
          <w:marBottom w:val="0"/>
          <w:divBdr>
            <w:top w:val="none" w:sz="0" w:space="0" w:color="auto"/>
            <w:left w:val="none" w:sz="0" w:space="0" w:color="auto"/>
            <w:bottom w:val="none" w:sz="0" w:space="0" w:color="auto"/>
            <w:right w:val="none" w:sz="0" w:space="0" w:color="auto"/>
          </w:divBdr>
        </w:div>
        <w:div w:id="1328751075">
          <w:marLeft w:val="446"/>
          <w:marRight w:val="0"/>
          <w:marTop w:val="0"/>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002611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0049278">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130731">
      <w:bodyDiv w:val="1"/>
      <w:marLeft w:val="0"/>
      <w:marRight w:val="0"/>
      <w:marTop w:val="0"/>
      <w:marBottom w:val="0"/>
      <w:divBdr>
        <w:top w:val="none" w:sz="0" w:space="0" w:color="auto"/>
        <w:left w:val="none" w:sz="0" w:space="0" w:color="auto"/>
        <w:bottom w:val="none" w:sz="0" w:space="0" w:color="auto"/>
        <w:right w:val="none" w:sz="0" w:space="0" w:color="auto"/>
      </w:divBdr>
      <w:divsChild>
        <w:div w:id="57634813">
          <w:marLeft w:val="360"/>
          <w:marRight w:val="0"/>
          <w:marTop w:val="200"/>
          <w:marBottom w:val="0"/>
          <w:divBdr>
            <w:top w:val="none" w:sz="0" w:space="0" w:color="auto"/>
            <w:left w:val="none" w:sz="0" w:space="0" w:color="auto"/>
            <w:bottom w:val="none" w:sz="0" w:space="0" w:color="auto"/>
            <w:right w:val="none" w:sz="0" w:space="0" w:color="auto"/>
          </w:divBdr>
        </w:div>
        <w:div w:id="553470302">
          <w:marLeft w:val="1080"/>
          <w:marRight w:val="0"/>
          <w:marTop w:val="100"/>
          <w:marBottom w:val="0"/>
          <w:divBdr>
            <w:top w:val="none" w:sz="0" w:space="0" w:color="auto"/>
            <w:left w:val="none" w:sz="0" w:space="0" w:color="auto"/>
            <w:bottom w:val="none" w:sz="0" w:space="0" w:color="auto"/>
            <w:right w:val="none" w:sz="0" w:space="0" w:color="auto"/>
          </w:divBdr>
        </w:div>
        <w:div w:id="1266965677">
          <w:marLeft w:val="1080"/>
          <w:marRight w:val="0"/>
          <w:marTop w:val="100"/>
          <w:marBottom w:val="0"/>
          <w:divBdr>
            <w:top w:val="none" w:sz="0" w:space="0" w:color="auto"/>
            <w:left w:val="none" w:sz="0" w:space="0" w:color="auto"/>
            <w:bottom w:val="none" w:sz="0" w:space="0" w:color="auto"/>
            <w:right w:val="none" w:sz="0" w:space="0" w:color="auto"/>
          </w:divBdr>
        </w:div>
        <w:div w:id="1447774158">
          <w:marLeft w:val="360"/>
          <w:marRight w:val="0"/>
          <w:marTop w:val="200"/>
          <w:marBottom w:val="0"/>
          <w:divBdr>
            <w:top w:val="none" w:sz="0" w:space="0" w:color="auto"/>
            <w:left w:val="none" w:sz="0" w:space="0" w:color="auto"/>
            <w:bottom w:val="none" w:sz="0" w:space="0" w:color="auto"/>
            <w:right w:val="none" w:sz="0" w:space="0" w:color="auto"/>
          </w:divBdr>
        </w:div>
        <w:div w:id="1759523480">
          <w:marLeft w:val="360"/>
          <w:marRight w:val="0"/>
          <w:marTop w:val="200"/>
          <w:marBottom w:val="0"/>
          <w:divBdr>
            <w:top w:val="none" w:sz="0" w:space="0" w:color="auto"/>
            <w:left w:val="none" w:sz="0" w:space="0" w:color="auto"/>
            <w:bottom w:val="none" w:sz="0" w:space="0" w:color="auto"/>
            <w:right w:val="none" w:sz="0" w:space="0" w:color="auto"/>
          </w:divBdr>
        </w:div>
        <w:div w:id="2125075523">
          <w:marLeft w:val="1080"/>
          <w:marRight w:val="0"/>
          <w:marTop w:val="100"/>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7707940">
      <w:bodyDiv w:val="1"/>
      <w:marLeft w:val="0"/>
      <w:marRight w:val="0"/>
      <w:marTop w:val="0"/>
      <w:marBottom w:val="0"/>
      <w:divBdr>
        <w:top w:val="none" w:sz="0" w:space="0" w:color="auto"/>
        <w:left w:val="none" w:sz="0" w:space="0" w:color="auto"/>
        <w:bottom w:val="none" w:sz="0" w:space="0" w:color="auto"/>
        <w:right w:val="none" w:sz="0" w:space="0" w:color="auto"/>
      </w:divBdr>
      <w:divsChild>
        <w:div w:id="2135443073">
          <w:marLeft w:val="1699"/>
          <w:marRight w:val="0"/>
          <w:marTop w:val="120"/>
          <w:marBottom w:val="0"/>
          <w:divBdr>
            <w:top w:val="none" w:sz="0" w:space="0" w:color="auto"/>
            <w:left w:val="none" w:sz="0" w:space="0" w:color="auto"/>
            <w:bottom w:val="none" w:sz="0" w:space="0" w:color="auto"/>
            <w:right w:val="none" w:sz="0" w:space="0" w:color="auto"/>
          </w:divBdr>
        </w:div>
      </w:divsChild>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15587064">
      <w:bodyDiv w:val="1"/>
      <w:marLeft w:val="0"/>
      <w:marRight w:val="0"/>
      <w:marTop w:val="0"/>
      <w:marBottom w:val="0"/>
      <w:divBdr>
        <w:top w:val="none" w:sz="0" w:space="0" w:color="auto"/>
        <w:left w:val="none" w:sz="0" w:space="0" w:color="auto"/>
        <w:bottom w:val="none" w:sz="0" w:space="0" w:color="auto"/>
        <w:right w:val="none" w:sz="0" w:space="0" w:color="auto"/>
      </w:divBdr>
      <w:divsChild>
        <w:div w:id="141889786">
          <w:marLeft w:val="1080"/>
          <w:marRight w:val="0"/>
          <w:marTop w:val="100"/>
          <w:marBottom w:val="0"/>
          <w:divBdr>
            <w:top w:val="none" w:sz="0" w:space="0" w:color="auto"/>
            <w:left w:val="none" w:sz="0" w:space="0" w:color="auto"/>
            <w:bottom w:val="none" w:sz="0" w:space="0" w:color="auto"/>
            <w:right w:val="none" w:sz="0" w:space="0" w:color="auto"/>
          </w:divBdr>
        </w:div>
        <w:div w:id="161433482">
          <w:marLeft w:val="1080"/>
          <w:marRight w:val="0"/>
          <w:marTop w:val="100"/>
          <w:marBottom w:val="0"/>
          <w:divBdr>
            <w:top w:val="none" w:sz="0" w:space="0" w:color="auto"/>
            <w:left w:val="none" w:sz="0" w:space="0" w:color="auto"/>
            <w:bottom w:val="none" w:sz="0" w:space="0" w:color="auto"/>
            <w:right w:val="none" w:sz="0" w:space="0" w:color="auto"/>
          </w:divBdr>
        </w:div>
        <w:div w:id="303319289">
          <w:marLeft w:val="1080"/>
          <w:marRight w:val="0"/>
          <w:marTop w:val="100"/>
          <w:marBottom w:val="0"/>
          <w:divBdr>
            <w:top w:val="none" w:sz="0" w:space="0" w:color="auto"/>
            <w:left w:val="none" w:sz="0" w:space="0" w:color="auto"/>
            <w:bottom w:val="none" w:sz="0" w:space="0" w:color="auto"/>
            <w:right w:val="none" w:sz="0" w:space="0" w:color="auto"/>
          </w:divBdr>
        </w:div>
        <w:div w:id="434134474">
          <w:marLeft w:val="1080"/>
          <w:marRight w:val="0"/>
          <w:marTop w:val="100"/>
          <w:marBottom w:val="0"/>
          <w:divBdr>
            <w:top w:val="none" w:sz="0" w:space="0" w:color="auto"/>
            <w:left w:val="none" w:sz="0" w:space="0" w:color="auto"/>
            <w:bottom w:val="none" w:sz="0" w:space="0" w:color="auto"/>
            <w:right w:val="none" w:sz="0" w:space="0" w:color="auto"/>
          </w:divBdr>
        </w:div>
        <w:div w:id="537084331">
          <w:marLeft w:val="1080"/>
          <w:marRight w:val="0"/>
          <w:marTop w:val="100"/>
          <w:marBottom w:val="0"/>
          <w:divBdr>
            <w:top w:val="none" w:sz="0" w:space="0" w:color="auto"/>
            <w:left w:val="none" w:sz="0" w:space="0" w:color="auto"/>
            <w:bottom w:val="none" w:sz="0" w:space="0" w:color="auto"/>
            <w:right w:val="none" w:sz="0" w:space="0" w:color="auto"/>
          </w:divBdr>
        </w:div>
        <w:div w:id="747339206">
          <w:marLeft w:val="1800"/>
          <w:marRight w:val="0"/>
          <w:marTop w:val="100"/>
          <w:marBottom w:val="0"/>
          <w:divBdr>
            <w:top w:val="none" w:sz="0" w:space="0" w:color="auto"/>
            <w:left w:val="none" w:sz="0" w:space="0" w:color="auto"/>
            <w:bottom w:val="none" w:sz="0" w:space="0" w:color="auto"/>
            <w:right w:val="none" w:sz="0" w:space="0" w:color="auto"/>
          </w:divBdr>
        </w:div>
        <w:div w:id="798689143">
          <w:marLeft w:val="360"/>
          <w:marRight w:val="0"/>
          <w:marTop w:val="200"/>
          <w:marBottom w:val="0"/>
          <w:divBdr>
            <w:top w:val="none" w:sz="0" w:space="0" w:color="auto"/>
            <w:left w:val="none" w:sz="0" w:space="0" w:color="auto"/>
            <w:bottom w:val="none" w:sz="0" w:space="0" w:color="auto"/>
            <w:right w:val="none" w:sz="0" w:space="0" w:color="auto"/>
          </w:divBdr>
        </w:div>
        <w:div w:id="1058942731">
          <w:marLeft w:val="360"/>
          <w:marRight w:val="0"/>
          <w:marTop w:val="200"/>
          <w:marBottom w:val="0"/>
          <w:divBdr>
            <w:top w:val="none" w:sz="0" w:space="0" w:color="auto"/>
            <w:left w:val="none" w:sz="0" w:space="0" w:color="auto"/>
            <w:bottom w:val="none" w:sz="0" w:space="0" w:color="auto"/>
            <w:right w:val="none" w:sz="0" w:space="0" w:color="auto"/>
          </w:divBdr>
        </w:div>
        <w:div w:id="1272124680">
          <w:marLeft w:val="1080"/>
          <w:marRight w:val="0"/>
          <w:marTop w:val="100"/>
          <w:marBottom w:val="0"/>
          <w:divBdr>
            <w:top w:val="none" w:sz="0" w:space="0" w:color="auto"/>
            <w:left w:val="none" w:sz="0" w:space="0" w:color="auto"/>
            <w:bottom w:val="none" w:sz="0" w:space="0" w:color="auto"/>
            <w:right w:val="none" w:sz="0" w:space="0" w:color="auto"/>
          </w:divBdr>
        </w:div>
        <w:div w:id="2030180857">
          <w:marLeft w:val="360"/>
          <w:marRight w:val="0"/>
          <w:marTop w:val="200"/>
          <w:marBottom w:val="0"/>
          <w:divBdr>
            <w:top w:val="none" w:sz="0" w:space="0" w:color="auto"/>
            <w:left w:val="none" w:sz="0" w:space="0" w:color="auto"/>
            <w:bottom w:val="none" w:sz="0" w:space="0" w:color="auto"/>
            <w:right w:val="none" w:sz="0" w:space="0" w:color="auto"/>
          </w:divBdr>
        </w:div>
        <w:div w:id="2085447607">
          <w:marLeft w:val="1080"/>
          <w:marRight w:val="0"/>
          <w:marTop w:val="10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372840">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6120821">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49146131">
      <w:bodyDiv w:val="1"/>
      <w:marLeft w:val="0"/>
      <w:marRight w:val="0"/>
      <w:marTop w:val="0"/>
      <w:marBottom w:val="0"/>
      <w:divBdr>
        <w:top w:val="none" w:sz="0" w:space="0" w:color="auto"/>
        <w:left w:val="none" w:sz="0" w:space="0" w:color="auto"/>
        <w:bottom w:val="none" w:sz="0" w:space="0" w:color="auto"/>
        <w:right w:val="none" w:sz="0" w:space="0" w:color="auto"/>
      </w:divBdr>
    </w:div>
    <w:div w:id="1560745861">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707954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89913877">
      <w:bodyDiv w:val="1"/>
      <w:marLeft w:val="0"/>
      <w:marRight w:val="0"/>
      <w:marTop w:val="0"/>
      <w:marBottom w:val="0"/>
      <w:divBdr>
        <w:top w:val="none" w:sz="0" w:space="0" w:color="auto"/>
        <w:left w:val="none" w:sz="0" w:space="0" w:color="auto"/>
        <w:bottom w:val="none" w:sz="0" w:space="0" w:color="auto"/>
        <w:right w:val="none" w:sz="0" w:space="0" w:color="auto"/>
      </w:divBdr>
      <w:divsChild>
        <w:div w:id="42755929">
          <w:marLeft w:val="446"/>
          <w:marRight w:val="0"/>
          <w:marTop w:val="0"/>
          <w:marBottom w:val="0"/>
          <w:divBdr>
            <w:top w:val="none" w:sz="0" w:space="0" w:color="auto"/>
            <w:left w:val="none" w:sz="0" w:space="0" w:color="auto"/>
            <w:bottom w:val="none" w:sz="0" w:space="0" w:color="auto"/>
            <w:right w:val="none" w:sz="0" w:space="0" w:color="auto"/>
          </w:divBdr>
        </w:div>
        <w:div w:id="227231538">
          <w:marLeft w:val="446"/>
          <w:marRight w:val="0"/>
          <w:marTop w:val="0"/>
          <w:marBottom w:val="0"/>
          <w:divBdr>
            <w:top w:val="none" w:sz="0" w:space="0" w:color="auto"/>
            <w:left w:val="none" w:sz="0" w:space="0" w:color="auto"/>
            <w:bottom w:val="none" w:sz="0" w:space="0" w:color="auto"/>
            <w:right w:val="none" w:sz="0" w:space="0" w:color="auto"/>
          </w:divBdr>
        </w:div>
        <w:div w:id="1873372828">
          <w:marLeft w:val="446"/>
          <w:marRight w:val="0"/>
          <w:marTop w:val="0"/>
          <w:marBottom w:val="0"/>
          <w:divBdr>
            <w:top w:val="none" w:sz="0" w:space="0" w:color="auto"/>
            <w:left w:val="none" w:sz="0" w:space="0" w:color="auto"/>
            <w:bottom w:val="none" w:sz="0" w:space="0" w:color="auto"/>
            <w:right w:val="none" w:sz="0" w:space="0" w:color="auto"/>
          </w:divBdr>
        </w:div>
      </w:divsChild>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2989771">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9930088">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4721901">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 w:id="2144157747">
          <w:marLeft w:val="108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 w:id="214527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A6CB0-A498-4357-A949-E5A3FE61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1133</Words>
  <Characters>6619</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2022-11-07T11:29:00Z</dcterms:created>
  <dcterms:modified xsi:type="dcterms:W3CDTF">2022-11-07T11:29:00Z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2022-11-04T04:52:01Z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ba859b61-0f3c-4a53-b850-6cf05053bb24</vt:lpwstr>
  </property>
  <property fmtid="{D5CDD505-2E9C-101B-9397-08002B2CF9AE}" pid="9" name="MSIP_Label_83bcef13-7cac-433f-ba1d-47a323951816_ContentBits">
    <vt:lpwstr>0</vt:lpwstr>
  </property>
</Properties>
</file>